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107" w14:textId="2F698EB3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>PROYECTO DE CIRCULAR QUE MODIFICA LOS LIBROS I</w:t>
      </w:r>
      <w:r w:rsidR="00344277">
        <w:rPr>
          <w:b/>
          <w:bCs/>
        </w:rPr>
        <w:t xml:space="preserve">I, III, IV, </w:t>
      </w:r>
      <w:r>
        <w:rPr>
          <w:b/>
          <w:bCs/>
        </w:rPr>
        <w:t>V</w:t>
      </w:r>
      <w:r w:rsidR="00344277">
        <w:rPr>
          <w:b/>
          <w:bCs/>
        </w:rPr>
        <w:t>, VI, VII y VIII</w:t>
      </w:r>
      <w:r>
        <w:rPr>
          <w:b/>
          <w:bCs/>
        </w:rPr>
        <w:t xml:space="preserve"> 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48B62F2A" w14:textId="01A8BA52" w:rsidR="00217C65" w:rsidRDefault="00217C65" w:rsidP="00217C65">
      <w:pPr>
        <w:spacing w:before="120" w:after="120"/>
        <w:jc w:val="both"/>
        <w:rPr>
          <w:rFonts w:cstheme="minorHAnsi"/>
          <w:color w:val="000000" w:themeColor="text1"/>
        </w:rPr>
      </w:pPr>
      <w:r>
        <w:t xml:space="preserve">Esta </w:t>
      </w:r>
      <w:r>
        <w:rPr>
          <w:rFonts w:cstheme="minorHAnsi"/>
          <w:color w:val="000000" w:themeColor="text1"/>
        </w:rPr>
        <w:t xml:space="preserve">circular complementa y/o modifica las instrucciones </w:t>
      </w:r>
      <w:r w:rsidR="00A62422">
        <w:rPr>
          <w:rFonts w:cstheme="minorHAnsi"/>
          <w:color w:val="000000" w:themeColor="text1"/>
        </w:rPr>
        <w:t xml:space="preserve">de los Libros II, III, IV, V, VI, VII y VIII </w:t>
      </w:r>
      <w:r>
        <w:rPr>
          <w:rFonts w:cstheme="minorHAnsi"/>
          <w:color w:val="000000" w:themeColor="text1"/>
        </w:rPr>
        <w:t>del Compendio de Normas del Seguro de la</w:t>
      </w:r>
      <w:r w:rsidR="00A62422">
        <w:rPr>
          <w:rFonts w:cstheme="minorHAnsi"/>
          <w:color w:val="000000" w:themeColor="text1"/>
        </w:rPr>
        <w:t xml:space="preserve"> Ley N°16.744, en</w:t>
      </w:r>
      <w:r>
        <w:rPr>
          <w:rFonts w:cstheme="minorHAnsi"/>
          <w:color w:val="000000" w:themeColor="text1"/>
        </w:rPr>
        <w:t xml:space="preserve"> </w:t>
      </w:r>
      <w:r w:rsidR="00A62422">
        <w:rPr>
          <w:rFonts w:cstheme="minorHAnsi"/>
          <w:color w:val="000000" w:themeColor="text1"/>
        </w:rPr>
        <w:t xml:space="preserve">diversos </w:t>
      </w:r>
      <w:r>
        <w:rPr>
          <w:rFonts w:cstheme="minorHAnsi"/>
          <w:color w:val="000000" w:themeColor="text1"/>
        </w:rPr>
        <w:t>aspectos</w:t>
      </w:r>
      <w:r w:rsidR="00A62422">
        <w:rPr>
          <w:rFonts w:cstheme="minorHAnsi"/>
          <w:color w:val="000000" w:themeColor="text1"/>
        </w:rPr>
        <w:t>, siendo los principales</w:t>
      </w:r>
      <w:r>
        <w:rPr>
          <w:rFonts w:cstheme="minorHAnsi"/>
          <w:color w:val="000000" w:themeColor="text1"/>
        </w:rPr>
        <w:t>:</w:t>
      </w:r>
    </w:p>
    <w:p w14:paraId="1F762064" w14:textId="6C78082C" w:rsidR="00A62422" w:rsidRDefault="00217C65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</w:t>
      </w:r>
      <w:r w:rsidRPr="0088493C">
        <w:t xml:space="preserve">e </w:t>
      </w:r>
      <w:r w:rsidR="00A62422">
        <w:t>complementa lo relativo a los antecedentes que las entidades empleadoras deben adjuntar a la solicitud de adhesión a una mutualidad, previendo la situaci</w:t>
      </w:r>
      <w:r w:rsidR="001F03AE">
        <w:t>ón de aqué</w:t>
      </w:r>
      <w:r w:rsidR="00A62422">
        <w:t xml:space="preserve">llas que se han acogido al </w:t>
      </w:r>
      <w:r w:rsidR="00A62422" w:rsidRPr="00A62422">
        <w:t>régimen simplificado de constitución, modificación y disolución de sociedades comerciales</w:t>
      </w:r>
      <w:r w:rsidR="00A62422">
        <w:t>, previsto en la Ley N°20.659.</w:t>
      </w:r>
    </w:p>
    <w:p w14:paraId="4E0A58E3" w14:textId="19048D24" w:rsidR="00A62422" w:rsidRDefault="00A62422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Respecto de las mutualidades que </w:t>
      </w:r>
      <w:r w:rsidR="008D3DB3">
        <w:t xml:space="preserve">en virtud del artículo 29 del D.L. N°1.819, </w:t>
      </w:r>
      <w:r>
        <w:t xml:space="preserve">atienden </w:t>
      </w:r>
      <w:r w:rsidR="008D3DB3">
        <w:t>a trabajadores</w:t>
      </w:r>
      <w:r>
        <w:t xml:space="preserve"> como pacientes privados, se instruye que</w:t>
      </w:r>
      <w:r w:rsidR="008002E8">
        <w:t xml:space="preserve"> si surge y confirma una sospecha sobre</w:t>
      </w:r>
      <w:r w:rsidR="008D3DB3">
        <w:t xml:space="preserve"> el posible origen laboral de su</w:t>
      </w:r>
      <w:r w:rsidR="008002E8">
        <w:t xml:space="preserve"> afección, </w:t>
      </w:r>
      <w:r w:rsidR="00877956">
        <w:t xml:space="preserve">deben iniciar un proceso de </w:t>
      </w:r>
      <w:r>
        <w:t xml:space="preserve">calificación o derivar al trabajador a su organismo </w:t>
      </w:r>
      <w:r w:rsidR="008002E8">
        <w:t>administrador</w:t>
      </w:r>
      <w:r w:rsidR="001F03AE">
        <w:t xml:space="preserve">, </w:t>
      </w:r>
      <w:r w:rsidR="008002E8">
        <w:t xml:space="preserve">si </w:t>
      </w:r>
      <w:r w:rsidR="008D3DB3">
        <w:t>es que</w:t>
      </w:r>
      <w:r w:rsidR="008002E8">
        <w:t xml:space="preserve"> no pertenece a uno de sus empleadores adheridos. </w:t>
      </w:r>
      <w:r w:rsidR="001F03AE">
        <w:t xml:space="preserve">Lo anterior, </w:t>
      </w:r>
      <w:r w:rsidR="008D3DB3">
        <w:t>conforme a</w:t>
      </w:r>
      <w:r w:rsidR="008002E8">
        <w:t xml:space="preserve">l procedimiento y </w:t>
      </w:r>
      <w:r w:rsidR="008D3DB3">
        <w:t xml:space="preserve">bajo las </w:t>
      </w:r>
      <w:r w:rsidR="008002E8">
        <w:t xml:space="preserve">condiciones </w:t>
      </w:r>
      <w:r w:rsidR="00877956">
        <w:t xml:space="preserve">que </w:t>
      </w:r>
      <w:r w:rsidR="008002E8">
        <w:t xml:space="preserve">se establecen. </w:t>
      </w:r>
    </w:p>
    <w:p w14:paraId="4B758904" w14:textId="77777777" w:rsidR="008D3DB3" w:rsidRDefault="008002E8" w:rsidP="008002E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En cuanto al </w:t>
      </w:r>
      <w:r w:rsidRPr="008002E8">
        <w:t>incumplimiento de las medidas prescritas en el contexto de lo</w:t>
      </w:r>
      <w:r>
        <w:t xml:space="preserve">s accidentes del trabajo graves </w:t>
      </w:r>
      <w:r w:rsidRPr="008002E8">
        <w:t>y fatales</w:t>
      </w:r>
      <w:r>
        <w:t xml:space="preserve">, se dispone que a contar del 1° de enero de 2023 </w:t>
      </w:r>
      <w:r w:rsidR="008D3DB3">
        <w:t>se deberá</w:t>
      </w:r>
      <w:r>
        <w:t>, conforme a lo dispuesto en el número 8. del Capítulo I, Letra G, T</w:t>
      </w:r>
      <w:r w:rsidR="001F03AE">
        <w:t>ítulo II, del Libro IV</w:t>
      </w:r>
      <w:r>
        <w:t xml:space="preserve">, dársele el tratamiento </w:t>
      </w:r>
      <w:r w:rsidR="001F03AE">
        <w:t xml:space="preserve">de medidas asociadas a </w:t>
      </w:r>
      <w:r>
        <w:t>riesgos Categoría N°1, por lo que no podrá concederse un nuevo plazo para su implementación y debe</w:t>
      </w:r>
      <w:r w:rsidR="001F03AE">
        <w:t>rá</w:t>
      </w:r>
      <w:r>
        <w:t xml:space="preserve"> necesariamente aplicarse el recargo de la cotización adicional diferencia previsto en el artículo 15 del D.S. N°67, de 1999, del Ministerio del Trabajo y Previsión Social. </w:t>
      </w:r>
    </w:p>
    <w:p w14:paraId="0812C8C2" w14:textId="3401852B" w:rsidR="008002E8" w:rsidRDefault="00877956" w:rsidP="008D3DB3">
      <w:pPr>
        <w:pStyle w:val="Prrafodelista"/>
        <w:spacing w:before="120" w:after="120"/>
        <w:ind w:left="284"/>
        <w:contextualSpacing w:val="0"/>
        <w:jc w:val="both"/>
      </w:pPr>
      <w:r>
        <w:t xml:space="preserve">Al mismo  tiempo, </w:t>
      </w:r>
      <w:r w:rsidR="008D3DB3">
        <w:t xml:space="preserve">para </w:t>
      </w:r>
      <w:r>
        <w:t xml:space="preserve">una mejor </w:t>
      </w:r>
      <w:r w:rsidR="008D3DB3">
        <w:t xml:space="preserve">comprensión, </w:t>
      </w:r>
      <w:r w:rsidR="008002E8">
        <w:t>se r</w:t>
      </w:r>
      <w:r w:rsidR="001F03AE">
        <w:t>e</w:t>
      </w:r>
      <w:r w:rsidR="008002E8">
        <w:t xml:space="preserve">estructuran las instrucciones </w:t>
      </w:r>
      <w:r w:rsidR="001F03AE">
        <w:t>d</w:t>
      </w:r>
      <w:r w:rsidR="008002E8">
        <w:t xml:space="preserve">el citado número 8, </w:t>
      </w:r>
      <w:r w:rsidR="008D3DB3">
        <w:t>insertando en el texto con control de cambios que grafica las modificaciones de este proyecto</w:t>
      </w:r>
      <w:r>
        <w:t xml:space="preserve"> de circular</w:t>
      </w:r>
      <w:r w:rsidR="008D3DB3">
        <w:t xml:space="preserve">, una nota </w:t>
      </w:r>
      <w:r>
        <w:t xml:space="preserve">indicativa de </w:t>
      </w:r>
      <w:r w:rsidR="008D3DB3">
        <w:t>la ubicación que actualmente poseen esas instrucciones.</w:t>
      </w:r>
    </w:p>
    <w:p w14:paraId="482DC986" w14:textId="7687DCF6" w:rsidR="008D3DB3" w:rsidRDefault="008D3DB3" w:rsidP="00877956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Se imparten instrucciones sobre la asistencia técnica que los organismos administradores</w:t>
      </w:r>
      <w:r w:rsidR="00877956">
        <w:t xml:space="preserve"> para</w:t>
      </w:r>
      <w:r>
        <w:t xml:space="preserve"> deben bri</w:t>
      </w:r>
      <w:r w:rsidR="00877956">
        <w:t>n</w:t>
      </w:r>
      <w:r>
        <w:t xml:space="preserve">dar a las </w:t>
      </w:r>
      <w:r w:rsidR="00877956">
        <w:t xml:space="preserve">entidades empleadoras que realizan actividades de buceo profesional para la gestión de sus riesgos e instruye, para los fines que se indican, contar con un profesional médico capacitado en medicina hiperbárica. </w:t>
      </w:r>
    </w:p>
    <w:p w14:paraId="5BE0A8FF" w14:textId="491BE8B8" w:rsidR="00A62422" w:rsidRDefault="001F03AE" w:rsidP="001F03AE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En el caso de los trabajadores que incurran en alguna de las conductas señaladas en el artículo 33 de la Ley N°16.744 y que</w:t>
      </w:r>
      <w:r w:rsidR="00877956">
        <w:t xml:space="preserve"> autorizan a </w:t>
      </w:r>
      <w:r>
        <w:t xml:space="preserve">suspender el pago del subsidio por incapacidad laboral, se instruye formularle </w:t>
      </w:r>
      <w:r w:rsidR="00877956">
        <w:t xml:space="preserve">previamente </w:t>
      </w:r>
      <w:r>
        <w:t xml:space="preserve">una advertencia y aplicarle esa sanción, solo </w:t>
      </w:r>
      <w:r w:rsidR="00877956">
        <w:t xml:space="preserve">si </w:t>
      </w:r>
      <w:r w:rsidR="008D3DB3">
        <w:t>persist</w:t>
      </w:r>
      <w:r w:rsidR="00877956">
        <w:t>e</w:t>
      </w:r>
      <w:r>
        <w:t xml:space="preserve">n en su conducta. </w:t>
      </w:r>
    </w:p>
    <w:p w14:paraId="54C01733" w14:textId="72A4549A" w:rsidR="00A62422" w:rsidRDefault="001F03AE" w:rsidP="001F03AE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instruye </w:t>
      </w:r>
      <w:r w:rsidR="00877956">
        <w:t xml:space="preserve">que </w:t>
      </w:r>
      <w:r>
        <w:t>cuand</w:t>
      </w:r>
      <w:r w:rsidR="00877956">
        <w:t>o una sociedad u organismo en</w:t>
      </w:r>
      <w:r>
        <w:t xml:space="preserve"> que </w:t>
      </w:r>
      <w:r w:rsidR="00877956">
        <w:t xml:space="preserve">la mutualidad </w:t>
      </w:r>
      <w:r>
        <w:t xml:space="preserve">tiene participación directa o indirecta, pretende realizar </w:t>
      </w:r>
      <w:r w:rsidR="00B03110">
        <w:t xml:space="preserve">en otra sociedad u organismo, </w:t>
      </w:r>
      <w:r w:rsidR="008D3DB3">
        <w:t xml:space="preserve">alguna de </w:t>
      </w:r>
      <w:r>
        <w:t xml:space="preserve">las operaciones que </w:t>
      </w:r>
      <w:r w:rsidR="00B03110">
        <w:t>se indican</w:t>
      </w:r>
      <w:r w:rsidR="00877956">
        <w:t>, aquello debe ser previamente sometido a un acuerdo de su directorio, el que debe ser elevado en consulta</w:t>
      </w:r>
      <w:r w:rsidR="00B03110">
        <w:t>. De este modo, se complementan las instrucciones vigentes</w:t>
      </w:r>
      <w:r w:rsidR="008D3DB3">
        <w:t xml:space="preserve"> sobre </w:t>
      </w:r>
      <w:r w:rsidR="00B03110">
        <w:lastRenderedPageBreak/>
        <w:t>la materia, pero que solo</w:t>
      </w:r>
      <w:r w:rsidR="008D3DB3">
        <w:t xml:space="preserve"> dicen relación con </w:t>
      </w:r>
      <w:r w:rsidR="00B03110">
        <w:t xml:space="preserve">las sociedades u organismos en que tienen participación indirecta. </w:t>
      </w:r>
    </w:p>
    <w:p w14:paraId="42B85A16" w14:textId="254E91DB" w:rsidR="00B03110" w:rsidRDefault="00B03110" w:rsidP="001F03AE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Se aplaza del 15 de febrero al 5 de mayo de cada año, la fecha tope en que esta Superintendencia enviará a las mutualidades los resultados comparativos de los indicadores de gestión que</w:t>
      </w:r>
      <w:r w:rsidR="00877956">
        <w:t>,</w:t>
      </w:r>
      <w:r>
        <w:t xml:space="preserve"> como buena práctica, se ha instruido presentar en sus juntas generales ordinarias de adherentes.</w:t>
      </w:r>
    </w:p>
    <w:p w14:paraId="0D1EB8FE" w14:textId="3A2031C4" w:rsidR="00B03110" w:rsidRDefault="00B03110" w:rsidP="001F03AE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Se posibilita que la declaración de responsabilidad de los estados financier</w:t>
      </w:r>
      <w:r w:rsidR="00877956">
        <w:t>os anuales</w:t>
      </w:r>
      <w:r>
        <w:t xml:space="preserve"> pueda ser suscrita por los directores de la mutualidad, mediante firma electrónica avanzada.</w:t>
      </w:r>
    </w:p>
    <w:p w14:paraId="7A64C8EC" w14:textId="5A1C612B" w:rsidR="004B2AE6" w:rsidRDefault="00877956" w:rsidP="001F03AE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Por último, s</w:t>
      </w:r>
      <w:r w:rsidR="004B2AE6">
        <w:t xml:space="preserve">e elimina para los Servicios de Salud la </w:t>
      </w:r>
      <w:r>
        <w:t xml:space="preserve">exigencia </w:t>
      </w:r>
      <w:r w:rsidR="004B2AE6">
        <w:t>de remitir mensualmente a esta Superintendencia, la nómina de respaldo del gasto en prestaciones médicas del Seguro Escolar y en su reemplazo, se d</w:t>
      </w:r>
      <w:r>
        <w:t xml:space="preserve">ispone que solo deben mantenerse </w:t>
      </w:r>
      <w:r w:rsidR="004B2AE6">
        <w:t xml:space="preserve"> a su disposición.</w:t>
      </w:r>
    </w:p>
    <w:p w14:paraId="0A56C139" w14:textId="77777777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65F53DC7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</w:t>
            </w:r>
            <w:r w:rsidR="00D80017" w:rsidRPr="00D80017">
              <w:rPr>
                <w:b/>
                <w:bCs/>
                <w:sz w:val="28"/>
                <w:szCs w:val="28"/>
              </w:rPr>
              <w:t>PROYECTO DE CIRCULAR QUE MODIFICA LOS LIBROS II, III, IV, V, VI, VII y VIII DEL COMPENDIO DE NORMAS DEL SEGURO SOCIAL DE ACCIDENTES DEL TRABAJO Y ENFERMEDADES PROFESIONALES DE LA LEY N°16.744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BF82" w14:textId="77777777" w:rsidR="00193DF5" w:rsidRDefault="00193DF5" w:rsidP="00807ED0">
      <w:pPr>
        <w:spacing w:after="0" w:line="240" w:lineRule="auto"/>
      </w:pPr>
      <w:r>
        <w:separator/>
      </w:r>
    </w:p>
  </w:endnote>
  <w:endnote w:type="continuationSeparator" w:id="0">
    <w:p w14:paraId="555E16DD" w14:textId="77777777" w:rsidR="00193DF5" w:rsidRDefault="00193DF5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712F" w14:textId="77777777" w:rsidR="00193DF5" w:rsidRDefault="00193DF5" w:rsidP="00807ED0">
      <w:pPr>
        <w:spacing w:after="0" w:line="240" w:lineRule="auto"/>
      </w:pPr>
      <w:r>
        <w:separator/>
      </w:r>
    </w:p>
  </w:footnote>
  <w:footnote w:type="continuationSeparator" w:id="0">
    <w:p w14:paraId="63BF0915" w14:textId="77777777" w:rsidR="00193DF5" w:rsidRDefault="00193DF5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84147">
    <w:abstractNumId w:val="2"/>
  </w:num>
  <w:num w:numId="2" w16cid:durableId="1308317573">
    <w:abstractNumId w:val="7"/>
  </w:num>
  <w:num w:numId="3" w16cid:durableId="630980817">
    <w:abstractNumId w:val="6"/>
  </w:num>
  <w:num w:numId="4" w16cid:durableId="498539702">
    <w:abstractNumId w:val="3"/>
  </w:num>
  <w:num w:numId="5" w16cid:durableId="1067843623">
    <w:abstractNumId w:val="0"/>
  </w:num>
  <w:num w:numId="6" w16cid:durableId="2020503790">
    <w:abstractNumId w:val="4"/>
  </w:num>
  <w:num w:numId="7" w16cid:durableId="1259943268">
    <w:abstractNumId w:val="5"/>
  </w:num>
  <w:num w:numId="8" w16cid:durableId="5008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9C"/>
    <w:rsid w:val="00071341"/>
    <w:rsid w:val="00084638"/>
    <w:rsid w:val="00085F6E"/>
    <w:rsid w:val="00107E1D"/>
    <w:rsid w:val="00124062"/>
    <w:rsid w:val="00160560"/>
    <w:rsid w:val="00183CC0"/>
    <w:rsid w:val="001910DD"/>
    <w:rsid w:val="00193DF5"/>
    <w:rsid w:val="00197805"/>
    <w:rsid w:val="001F03AE"/>
    <w:rsid w:val="00217C65"/>
    <w:rsid w:val="00267CC4"/>
    <w:rsid w:val="00273D5B"/>
    <w:rsid w:val="002A0018"/>
    <w:rsid w:val="002A71C9"/>
    <w:rsid w:val="002E1694"/>
    <w:rsid w:val="002F3EE4"/>
    <w:rsid w:val="002F5BEA"/>
    <w:rsid w:val="00344277"/>
    <w:rsid w:val="003510DD"/>
    <w:rsid w:val="00397EB0"/>
    <w:rsid w:val="003C5C11"/>
    <w:rsid w:val="003D236F"/>
    <w:rsid w:val="004A175F"/>
    <w:rsid w:val="004B2AE6"/>
    <w:rsid w:val="004B6D96"/>
    <w:rsid w:val="004C514E"/>
    <w:rsid w:val="004D3971"/>
    <w:rsid w:val="004E5A19"/>
    <w:rsid w:val="004F38DF"/>
    <w:rsid w:val="005133CE"/>
    <w:rsid w:val="006A1900"/>
    <w:rsid w:val="006F330D"/>
    <w:rsid w:val="0075532F"/>
    <w:rsid w:val="007B0E0C"/>
    <w:rsid w:val="007B2F73"/>
    <w:rsid w:val="007E7BC1"/>
    <w:rsid w:val="008002E8"/>
    <w:rsid w:val="00807ED0"/>
    <w:rsid w:val="00877956"/>
    <w:rsid w:val="008A503B"/>
    <w:rsid w:val="008C4414"/>
    <w:rsid w:val="008D1065"/>
    <w:rsid w:val="008D3DB3"/>
    <w:rsid w:val="008F10DB"/>
    <w:rsid w:val="0092657C"/>
    <w:rsid w:val="00983360"/>
    <w:rsid w:val="00983BA0"/>
    <w:rsid w:val="00990B99"/>
    <w:rsid w:val="009E3F44"/>
    <w:rsid w:val="009E5760"/>
    <w:rsid w:val="00A071EE"/>
    <w:rsid w:val="00A237EC"/>
    <w:rsid w:val="00A36E4E"/>
    <w:rsid w:val="00A45B9C"/>
    <w:rsid w:val="00A62422"/>
    <w:rsid w:val="00A83763"/>
    <w:rsid w:val="00AC2A04"/>
    <w:rsid w:val="00AF04D7"/>
    <w:rsid w:val="00B03110"/>
    <w:rsid w:val="00B317D3"/>
    <w:rsid w:val="00B35DB0"/>
    <w:rsid w:val="00B64BF5"/>
    <w:rsid w:val="00B84A94"/>
    <w:rsid w:val="00BC2129"/>
    <w:rsid w:val="00C238D3"/>
    <w:rsid w:val="00D426DE"/>
    <w:rsid w:val="00D74401"/>
    <w:rsid w:val="00D80017"/>
    <w:rsid w:val="00D9613F"/>
    <w:rsid w:val="00DB123A"/>
    <w:rsid w:val="00DB1DEF"/>
    <w:rsid w:val="00DD7884"/>
    <w:rsid w:val="00E11150"/>
    <w:rsid w:val="00E358D2"/>
    <w:rsid w:val="00F353C0"/>
    <w:rsid w:val="00F4243D"/>
    <w:rsid w:val="00F44745"/>
    <w:rsid w:val="00F455ED"/>
    <w:rsid w:val="00F77C3A"/>
    <w:rsid w:val="00F85D76"/>
    <w:rsid w:val="00FA26DE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F24E99E6-EC0B-4262-98ED-2B2A758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Erick Aguilera</cp:lastModifiedBy>
  <cp:revision>5</cp:revision>
  <dcterms:created xsi:type="dcterms:W3CDTF">2022-09-30T20:08:00Z</dcterms:created>
  <dcterms:modified xsi:type="dcterms:W3CDTF">2022-09-30T21:36:00Z</dcterms:modified>
</cp:coreProperties>
</file>