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FB200" w14:textId="77777777" w:rsidR="009148A8" w:rsidRDefault="00F07ABB" w:rsidP="00F07ABB">
      <w:pPr>
        <w:jc w:val="center"/>
        <w:rPr>
          <w:b/>
        </w:rPr>
      </w:pPr>
      <w:r w:rsidRPr="00F07ABB">
        <w:rPr>
          <w:b/>
        </w:rPr>
        <w:t>MINUTA</w:t>
      </w:r>
    </w:p>
    <w:p w14:paraId="0E5C6F3D" w14:textId="7B146670" w:rsidR="00F07ABB" w:rsidRDefault="00050650" w:rsidP="00F07ABB">
      <w:pPr>
        <w:jc w:val="center"/>
        <w:rPr>
          <w:b/>
        </w:rPr>
      </w:pPr>
      <w:r>
        <w:rPr>
          <w:b/>
        </w:rPr>
        <w:t xml:space="preserve">PROYECTO DE CIRCULAR </w:t>
      </w:r>
      <w:r w:rsidR="00F07ABB">
        <w:rPr>
          <w:b/>
        </w:rPr>
        <w:t>CRITERIOS DE CALIFICACIÓN ENFERMEDADES MUSCULOESQUELÉTICAS DE MIEMBRO SUPERIOR</w:t>
      </w:r>
    </w:p>
    <w:p w14:paraId="0B242458" w14:textId="285A5160" w:rsidR="00F07ABB" w:rsidRDefault="00050650" w:rsidP="00F07ABB">
      <w:pPr>
        <w:jc w:val="both"/>
      </w:pPr>
      <w:r>
        <w:t xml:space="preserve">Mediante este proyecto de Circular se </w:t>
      </w:r>
      <w:r w:rsidR="000F3F15">
        <w:t xml:space="preserve">imparten instrucciones a los organismos administradores y las empresas con administración delegada, sobre la </w:t>
      </w:r>
      <w:r>
        <w:t xml:space="preserve">aplicación </w:t>
      </w:r>
      <w:r w:rsidR="000F3F15">
        <w:t xml:space="preserve">de </w:t>
      </w:r>
      <w:r w:rsidR="00017C8D">
        <w:t xml:space="preserve">los </w:t>
      </w:r>
      <w:r w:rsidR="000F3F15">
        <w:t>criterios</w:t>
      </w:r>
      <w:r w:rsidR="000F3F15" w:rsidRPr="000F3F15">
        <w:t xml:space="preserve"> </w:t>
      </w:r>
      <w:r w:rsidR="000F3F15">
        <w:t>para la calificación de</w:t>
      </w:r>
      <w:r w:rsidR="00E00BA0">
        <w:t xml:space="preserve">l </w:t>
      </w:r>
      <w:r w:rsidR="000F3F15">
        <w:t xml:space="preserve">origen de enfermedades musculoesqueléticas de miembro superior que se indican a continuación, </w:t>
      </w:r>
      <w:r w:rsidR="00E00BA0">
        <w:t xml:space="preserve">los que se encuentran definidos en el Anexo N°36 </w:t>
      </w:r>
      <w:r w:rsidR="00017C8D" w:rsidRPr="004C5A93">
        <w:rPr>
          <w:rFonts w:eastAsiaTheme="majorEastAsia" w:cstheme="minorHAnsi"/>
        </w:rPr>
        <w:t xml:space="preserve">“Criterios de Calificación </w:t>
      </w:r>
      <w:r w:rsidR="00017C8D">
        <w:rPr>
          <w:rFonts w:eastAsiaTheme="majorEastAsia" w:cstheme="minorHAnsi"/>
        </w:rPr>
        <w:t>de Enfermedades Musculoesqueléticas de Extremidad Superior</w:t>
      </w:r>
      <w:r w:rsidR="00017C8D" w:rsidRPr="004C5A93">
        <w:rPr>
          <w:rFonts w:eastAsiaTheme="majorEastAsia" w:cstheme="minorHAnsi"/>
        </w:rPr>
        <w:t>”</w:t>
      </w:r>
      <w:r w:rsidR="00017C8D">
        <w:rPr>
          <w:rFonts w:eastAsiaTheme="majorEastAsia" w:cstheme="minorHAnsi"/>
        </w:rPr>
        <w:t xml:space="preserve"> </w:t>
      </w:r>
      <w:r w:rsidR="00E00BA0">
        <w:t xml:space="preserve">que se adjunta a este proyecto. </w:t>
      </w:r>
    </w:p>
    <w:p w14:paraId="04930BC1" w14:textId="40173367" w:rsidR="00F07ABB" w:rsidRDefault="00F07ABB" w:rsidP="00F07ABB">
      <w:pPr>
        <w:jc w:val="both"/>
      </w:pPr>
      <w:r>
        <w:t>Las enfermedades</w:t>
      </w:r>
      <w:r w:rsidR="00017C8D">
        <w:t xml:space="preserve"> para las que se definen los criterios de calificación son</w:t>
      </w:r>
      <w:r>
        <w:t>: Bursitis subacromial de hombro, Tendinopatía del manguito rotador, Tendinitis bicipital de hombro, Epicondilitis, Epitrocleitis</w:t>
      </w:r>
      <w:r w:rsidR="00017C8D">
        <w:t xml:space="preserve"> y</w:t>
      </w:r>
      <w:r>
        <w:t xml:space="preserve"> Síndrome del túnel carpiano. Se </w:t>
      </w:r>
      <w:r w:rsidR="00017C8D">
        <w:t xml:space="preserve">ha </w:t>
      </w:r>
      <w:r w:rsidR="00353C11">
        <w:t>comenzado</w:t>
      </w:r>
      <w:r>
        <w:t xml:space="preserve"> por estas patologías </w:t>
      </w:r>
      <w:r w:rsidR="00353C11">
        <w:t xml:space="preserve">puesto </w:t>
      </w:r>
      <w:r w:rsidR="009325EC">
        <w:t xml:space="preserve">que representan las enfermedades musculoesqueléticas con </w:t>
      </w:r>
      <w:r>
        <w:t>mayor tasa de denuncias en el último tiempo.</w:t>
      </w:r>
    </w:p>
    <w:p w14:paraId="18369F0B" w14:textId="7703E0AB" w:rsidR="00F07ABB" w:rsidRDefault="00FF6007" w:rsidP="00F07ABB">
      <w:pPr>
        <w:jc w:val="both"/>
      </w:pPr>
      <w:r>
        <w:t>En el citado Anexo N°36, p</w:t>
      </w:r>
      <w:r w:rsidR="009325EC">
        <w:t>ara cada enfermedad</w:t>
      </w:r>
      <w:r>
        <w:t xml:space="preserve"> se precisan los siguientes aspectos:</w:t>
      </w:r>
    </w:p>
    <w:p w14:paraId="071C07C8" w14:textId="430E747C" w:rsidR="00F07ABB" w:rsidRDefault="00F07ABB" w:rsidP="00F07ABB">
      <w:pPr>
        <w:pStyle w:val="Prrafodelista"/>
        <w:numPr>
          <w:ilvl w:val="0"/>
          <w:numId w:val="1"/>
        </w:numPr>
        <w:jc w:val="both"/>
      </w:pPr>
      <w:r>
        <w:t>Introducción</w:t>
      </w:r>
      <w:r w:rsidR="00FF6007">
        <w:t xml:space="preserve"> con</w:t>
      </w:r>
      <w:r>
        <w:t xml:space="preserve"> una explicación breve de los objetivos del documento y su estructura.</w:t>
      </w:r>
    </w:p>
    <w:p w14:paraId="59632DC4" w14:textId="6A299094" w:rsidR="00F07ABB" w:rsidRDefault="00F07ABB" w:rsidP="00F07ABB">
      <w:pPr>
        <w:pStyle w:val="Prrafodelista"/>
        <w:numPr>
          <w:ilvl w:val="0"/>
          <w:numId w:val="1"/>
        </w:numPr>
        <w:jc w:val="both"/>
      </w:pPr>
      <w:r>
        <w:t>Presentación del cuadro clínico, donde se indican algunas particularidades respecto de la</w:t>
      </w:r>
      <w:r w:rsidR="00FF6007">
        <w:t xml:space="preserve"> </w:t>
      </w:r>
      <w:r>
        <w:t>enfermedad: aislada o acompañada por otras patologías, de carácter agudo o crónico, y si debe ser estudiada como accidente del trabajo o enfermedad profesional.</w:t>
      </w:r>
    </w:p>
    <w:p w14:paraId="4CDFAC2F" w14:textId="77777777" w:rsidR="00F07ABB" w:rsidRDefault="00F07ABB" w:rsidP="00F07ABB">
      <w:pPr>
        <w:pStyle w:val="Prrafodelista"/>
        <w:numPr>
          <w:ilvl w:val="0"/>
          <w:numId w:val="1"/>
        </w:numPr>
        <w:jc w:val="both"/>
      </w:pPr>
      <w:r>
        <w:t>Factores de riesgo, que son distintos según la enfermedad que se esté estudiando. Para cada factor de riesgo se establece una ponderación que permite categorizar cada tarea del puesto de trabajo con un nivel de riesgo (sin riesgo, insuficiente, leve, moderado y severo).</w:t>
      </w:r>
    </w:p>
    <w:p w14:paraId="3BDD5886" w14:textId="3E41D4BC" w:rsidR="00F07ABB" w:rsidRDefault="00F07ABB" w:rsidP="00F07ABB">
      <w:pPr>
        <w:pStyle w:val="Prrafodelista"/>
        <w:numPr>
          <w:ilvl w:val="0"/>
          <w:numId w:val="1"/>
        </w:numPr>
        <w:jc w:val="both"/>
      </w:pPr>
      <w:r>
        <w:t>Factores asociados u otros factores relevantes.</w:t>
      </w:r>
    </w:p>
    <w:p w14:paraId="3599D12A" w14:textId="77777777" w:rsidR="00F07ABB" w:rsidRDefault="00F07ABB" w:rsidP="00F07ABB">
      <w:pPr>
        <w:pStyle w:val="Prrafodelista"/>
        <w:numPr>
          <w:ilvl w:val="0"/>
          <w:numId w:val="1"/>
        </w:numPr>
        <w:jc w:val="both"/>
      </w:pPr>
      <w:r>
        <w:t>Criterios de interpretación de riesgo suficiente para la patología, donde se presenta la metodología de análisis según si el formato utilizado es Macrolabor (RMac) o Microlabor (RMic).</w:t>
      </w:r>
    </w:p>
    <w:p w14:paraId="68FA12D8" w14:textId="76E354D3" w:rsidR="00F07ABB" w:rsidRDefault="00F07ABB" w:rsidP="00F07ABB">
      <w:pPr>
        <w:pStyle w:val="Prrafodelista"/>
        <w:numPr>
          <w:ilvl w:val="0"/>
          <w:numId w:val="1"/>
        </w:numPr>
        <w:jc w:val="both"/>
      </w:pPr>
      <w:r>
        <w:t xml:space="preserve">Situaciones límite, </w:t>
      </w:r>
      <w:r w:rsidR="00FF6007">
        <w:t>con</w:t>
      </w:r>
      <w:r>
        <w:t xml:space="preserve"> los elementos que </w:t>
      </w:r>
      <w:r w:rsidR="00FF6007">
        <w:t xml:space="preserve">se </w:t>
      </w:r>
      <w:r>
        <w:t>deben tener a la vista para la calificación de un caso límite, con el orden de prelación de dichos antecedentes.</w:t>
      </w:r>
    </w:p>
    <w:p w14:paraId="5CB1D976" w14:textId="77777777" w:rsidR="00F07ABB" w:rsidRDefault="00F07ABB" w:rsidP="00F07ABB">
      <w:pPr>
        <w:pStyle w:val="Prrafodelista"/>
        <w:numPr>
          <w:ilvl w:val="0"/>
          <w:numId w:val="1"/>
        </w:numPr>
        <w:jc w:val="both"/>
      </w:pPr>
      <w:r>
        <w:t>Árbol de decisiones. Se presenta el flujograma del proceso de aplicación de los criterios de calificación, tanto para Macrolabor como Microlabor.</w:t>
      </w:r>
    </w:p>
    <w:p w14:paraId="2DF05A69" w14:textId="23AE4099" w:rsidR="00F07ABB" w:rsidRDefault="00F07ABB" w:rsidP="00F07ABB">
      <w:pPr>
        <w:pStyle w:val="Prrafodelista"/>
        <w:numPr>
          <w:ilvl w:val="0"/>
          <w:numId w:val="1"/>
        </w:numPr>
        <w:jc w:val="both"/>
      </w:pPr>
      <w:r>
        <w:t xml:space="preserve">Ejemplos, </w:t>
      </w:r>
      <w:r w:rsidR="00E977AD">
        <w:t>con</w:t>
      </w:r>
      <w:r>
        <w:t xml:space="preserve"> un caso de aplicación de criterios de calificación para Macrolabor y otro para Microlabor.</w:t>
      </w:r>
    </w:p>
    <w:p w14:paraId="78C9401D" w14:textId="62267EE6" w:rsidR="00F07ABB" w:rsidRDefault="00E977AD" w:rsidP="00F07ABB">
      <w:pPr>
        <w:jc w:val="both"/>
        <w:rPr>
          <w:rFonts w:eastAsiaTheme="majorEastAsia" w:cstheme="minorHAnsi"/>
        </w:rPr>
      </w:pPr>
      <w:r>
        <w:t xml:space="preserve">Además, se incorporan </w:t>
      </w:r>
      <w:r w:rsidR="00814303">
        <w:t>algunas modificaciones en los formatos de Estudio de Puesto de Trabajo para Hombro</w:t>
      </w:r>
      <w:r>
        <w:t>,</w:t>
      </w:r>
      <w:r w:rsidR="00814303">
        <w:t xml:space="preserve"> Macrolabor</w:t>
      </w:r>
      <w:r>
        <w:t>,</w:t>
      </w:r>
      <w:r w:rsidR="00814303">
        <w:t xml:space="preserve"> y </w:t>
      </w:r>
      <w:r>
        <w:t>para</w:t>
      </w:r>
      <w:r w:rsidR="00814303">
        <w:t xml:space="preserve"> Mano – Muñeca,</w:t>
      </w:r>
      <w:r>
        <w:t xml:space="preserve"> </w:t>
      </w:r>
      <w:r w:rsidR="00814303">
        <w:t>tanto Macrolabor como Microlabor</w:t>
      </w:r>
      <w:r w:rsidR="006B3F7B">
        <w:t>, a</w:t>
      </w:r>
      <w:r>
        <w:t>sí como</w:t>
      </w:r>
      <w:r w:rsidR="00814303">
        <w:t>,</w:t>
      </w:r>
      <w:r w:rsidR="006B3F7B">
        <w:t xml:space="preserve"> </w:t>
      </w:r>
      <w:r w:rsidR="00E95D9E">
        <w:t xml:space="preserve">cambios menores </w:t>
      </w:r>
      <w:r w:rsidR="006B3F7B">
        <w:t>en el texto del</w:t>
      </w:r>
      <w:r w:rsidR="00814303">
        <w:t xml:space="preserve"> Anexo N°14</w:t>
      </w:r>
      <w:r w:rsidRPr="00E977AD">
        <w:rPr>
          <w:rFonts w:eastAsiaTheme="majorEastAsia" w:cstheme="minorHAnsi"/>
        </w:rPr>
        <w:t xml:space="preserve"> </w:t>
      </w:r>
      <w:r w:rsidRPr="00976359">
        <w:rPr>
          <w:rFonts w:eastAsiaTheme="majorEastAsia" w:cstheme="minorHAnsi"/>
        </w:rPr>
        <w:t>"Instructivo y Formatos de estudio de puesto de trabajo por sospecha de patología MEES"</w:t>
      </w:r>
      <w:r>
        <w:rPr>
          <w:rFonts w:eastAsiaTheme="majorEastAsia" w:cstheme="minorHAnsi"/>
        </w:rPr>
        <w:t>.</w:t>
      </w:r>
    </w:p>
    <w:p w14:paraId="79DF35D0" w14:textId="03205ADC" w:rsidR="00355070" w:rsidRDefault="00355070" w:rsidP="00F07ABB">
      <w:pPr>
        <w:jc w:val="both"/>
        <w:rPr>
          <w:rFonts w:eastAsiaTheme="majorEastAsia" w:cstheme="minorHAnsi"/>
        </w:rPr>
      </w:pPr>
    </w:p>
    <w:p w14:paraId="0B4A6BCA" w14:textId="4115CAE6" w:rsidR="00355070" w:rsidRDefault="00355070" w:rsidP="00F07ABB">
      <w:pPr>
        <w:jc w:val="both"/>
        <w:rPr>
          <w:rFonts w:eastAsiaTheme="majorEastAsia" w:cstheme="minorHAnsi"/>
        </w:rPr>
      </w:pPr>
    </w:p>
    <w:p w14:paraId="7C15B1F5" w14:textId="675901CE" w:rsidR="00355070" w:rsidRDefault="00355070" w:rsidP="00F07ABB">
      <w:pPr>
        <w:jc w:val="both"/>
        <w:rPr>
          <w:rFonts w:eastAsiaTheme="majorEastAsia" w:cstheme="minorHAnsi"/>
        </w:rPr>
      </w:pPr>
    </w:p>
    <w:p w14:paraId="5CA73B23" w14:textId="16949EDC" w:rsidR="00355070" w:rsidRDefault="00355070" w:rsidP="00F07ABB">
      <w:pPr>
        <w:jc w:val="both"/>
        <w:rPr>
          <w:rFonts w:eastAsiaTheme="majorEastAsia" w:cstheme="minorHAnsi"/>
        </w:rPr>
      </w:pPr>
    </w:p>
    <w:tbl>
      <w:tblPr>
        <w:tblStyle w:val="Tablaconcuadrcula"/>
        <w:tblW w:w="9776" w:type="dxa"/>
        <w:jc w:val="center"/>
        <w:tblInd w:w="0" w:type="dxa"/>
        <w:tblLook w:val="04A0" w:firstRow="1" w:lastRow="0" w:firstColumn="1" w:lastColumn="0" w:noHBand="0" w:noVBand="1"/>
      </w:tblPr>
      <w:tblGrid>
        <w:gridCol w:w="1522"/>
        <w:gridCol w:w="1721"/>
        <w:gridCol w:w="1721"/>
        <w:gridCol w:w="2247"/>
        <w:gridCol w:w="2565"/>
      </w:tblGrid>
      <w:tr w:rsidR="00355070" w14:paraId="29731527" w14:textId="77777777" w:rsidTr="005D70E3">
        <w:trPr>
          <w:jc w:val="center"/>
        </w:trPr>
        <w:tc>
          <w:tcPr>
            <w:tcW w:w="9776" w:type="dxa"/>
            <w:gridSpan w:val="5"/>
            <w:tcBorders>
              <w:top w:val="single" w:sz="4" w:space="0" w:color="auto"/>
              <w:left w:val="single" w:sz="4" w:space="0" w:color="auto"/>
              <w:bottom w:val="single" w:sz="4" w:space="0" w:color="auto"/>
              <w:right w:val="single" w:sz="4" w:space="0" w:color="auto"/>
            </w:tcBorders>
            <w:hideMark/>
          </w:tcPr>
          <w:p w14:paraId="7D29035D" w14:textId="3FCD8038" w:rsidR="00355070" w:rsidRDefault="00355070" w:rsidP="005D70E3">
            <w:pPr>
              <w:ind w:right="-220"/>
              <w:jc w:val="center"/>
              <w:rPr>
                <w:rFonts w:ascii="Calibri" w:eastAsia="Times New Roman" w:hAnsi="Calibri" w:cs="Times New Roman"/>
                <w:b/>
                <w:bCs/>
                <w:color w:val="000000"/>
                <w:sz w:val="24"/>
                <w:szCs w:val="24"/>
                <w:lang w:val="es-CL" w:eastAsia="es-CL"/>
              </w:rPr>
            </w:pPr>
            <w:r>
              <w:rPr>
                <w:rFonts w:cstheme="minorHAnsi"/>
                <w:b/>
                <w:bCs/>
                <w:sz w:val="24"/>
                <w:szCs w:val="24"/>
                <w:lang w:val="es-CL"/>
              </w:rPr>
              <w:lastRenderedPageBreak/>
              <w:t xml:space="preserve">OBSERVACIONES AL </w:t>
            </w:r>
            <w:r>
              <w:rPr>
                <w:b/>
                <w:sz w:val="24"/>
                <w:szCs w:val="24"/>
              </w:rPr>
              <w:t xml:space="preserve">PROYECTO DE CIRCULAR - </w:t>
            </w:r>
            <w:r w:rsidRPr="00355070">
              <w:rPr>
                <w:rFonts w:ascii="Calibri" w:eastAsia="Calibri" w:hAnsi="Calibri" w:cs="Calibri"/>
                <w:b/>
                <w:color w:val="000000"/>
                <w:sz w:val="24"/>
                <w:szCs w:val="24"/>
                <w:lang w:val="es-CL" w:eastAsia="es-CL"/>
              </w:rPr>
              <w:t>CRITERIOS DE CALIFICACIÓN ENFERMEDADES MUSCULOESQUELÉTICAS DE MIEMBRO SUPERIOR</w:t>
            </w:r>
          </w:p>
        </w:tc>
      </w:tr>
      <w:tr w:rsidR="00355070" w14:paraId="2D9A7DA1" w14:textId="77777777" w:rsidTr="005D70E3">
        <w:trPr>
          <w:jc w:val="center"/>
        </w:trPr>
        <w:tc>
          <w:tcPr>
            <w:tcW w:w="1522"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EFF3124"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PERSONA O ENTIDAD QUE EFECTÚA EL COMENTARIO U OBSERVACIÓN</w:t>
            </w:r>
          </w:p>
        </w:tc>
        <w:tc>
          <w:tcPr>
            <w:tcW w:w="172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5F0CFFDA"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SECCIÓN O NÚMERO, EN EL COMPENDIO O  PROYECTO DE CIRCULAR, OBJETO DEL COMENTARIO</w:t>
            </w:r>
          </w:p>
        </w:tc>
        <w:tc>
          <w:tcPr>
            <w:tcW w:w="172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0C03CDE"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TÍTULO DE LA SECCIÓN DEL PROYECTO O COMPENDIO,  OBJETO DEL COMENTARIO</w:t>
            </w:r>
          </w:p>
        </w:tc>
        <w:tc>
          <w:tcPr>
            <w:tcW w:w="224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9EBCEFD"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TEXTO DE LA SECCIÓN DEL PROYECTO DE CIRCULAR OBJETO DEL COMENTARIO</w:t>
            </w:r>
          </w:p>
        </w:tc>
        <w:tc>
          <w:tcPr>
            <w:tcW w:w="256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26709E8C"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COMENTARIOS</w:t>
            </w:r>
          </w:p>
          <w:p w14:paraId="497F2425"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DE LA PERSONA O ENTIDAD</w:t>
            </w:r>
          </w:p>
        </w:tc>
      </w:tr>
      <w:tr w:rsidR="00355070" w14:paraId="4FCDDD1C" w14:textId="77777777" w:rsidTr="005D70E3">
        <w:trPr>
          <w:jc w:val="center"/>
        </w:trPr>
        <w:tc>
          <w:tcPr>
            <w:tcW w:w="1522" w:type="dxa"/>
            <w:tcBorders>
              <w:top w:val="single" w:sz="4" w:space="0" w:color="auto"/>
              <w:left w:val="single" w:sz="4" w:space="0" w:color="auto"/>
              <w:bottom w:val="single" w:sz="4" w:space="0" w:color="auto"/>
              <w:right w:val="single" w:sz="4" w:space="0" w:color="auto"/>
            </w:tcBorders>
          </w:tcPr>
          <w:p w14:paraId="1AD24954"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Ejemplo:</w:t>
            </w:r>
          </w:p>
          <w:p w14:paraId="1053EC11" w14:textId="77777777" w:rsidR="00355070" w:rsidRDefault="00355070" w:rsidP="005D70E3">
            <w:pPr>
              <w:jc w:val="both"/>
              <w:textAlignment w:val="baseline"/>
              <w:rPr>
                <w:rFonts w:ascii="Calibri" w:eastAsia="Times New Roman" w:hAnsi="Calibri" w:cs="Times New Roman"/>
                <w:bCs/>
                <w:color w:val="000000"/>
                <w:lang w:val="es-CL" w:eastAsia="es-CL"/>
              </w:rPr>
            </w:pPr>
          </w:p>
          <w:p w14:paraId="7E9405C3"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Mutualidad de Empleadores</w:t>
            </w:r>
          </w:p>
        </w:tc>
        <w:tc>
          <w:tcPr>
            <w:tcW w:w="1721" w:type="dxa"/>
            <w:tcBorders>
              <w:top w:val="single" w:sz="4" w:space="0" w:color="auto"/>
              <w:left w:val="single" w:sz="4" w:space="0" w:color="auto"/>
              <w:bottom w:val="single" w:sz="4" w:space="0" w:color="auto"/>
              <w:right w:val="single" w:sz="4" w:space="0" w:color="auto"/>
            </w:tcBorders>
          </w:tcPr>
          <w:p w14:paraId="0FAE15E2"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Ejemplo:</w:t>
            </w:r>
          </w:p>
          <w:p w14:paraId="248A4550" w14:textId="77777777" w:rsidR="00355070" w:rsidRDefault="00355070" w:rsidP="005D70E3">
            <w:pPr>
              <w:jc w:val="both"/>
              <w:textAlignment w:val="baseline"/>
              <w:rPr>
                <w:rFonts w:ascii="Calibri" w:eastAsia="Times New Roman" w:hAnsi="Calibri" w:cs="Times New Roman"/>
                <w:bCs/>
                <w:color w:val="000000"/>
                <w:lang w:val="es-CL" w:eastAsia="es-CL"/>
              </w:rPr>
            </w:pPr>
          </w:p>
          <w:p w14:paraId="6791C91B"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Número 1, Letra A, Título II, Libro IV</w:t>
            </w:r>
          </w:p>
        </w:tc>
        <w:tc>
          <w:tcPr>
            <w:tcW w:w="1721" w:type="dxa"/>
            <w:tcBorders>
              <w:top w:val="single" w:sz="4" w:space="0" w:color="auto"/>
              <w:left w:val="single" w:sz="4" w:space="0" w:color="auto"/>
              <w:bottom w:val="single" w:sz="4" w:space="0" w:color="auto"/>
              <w:right w:val="single" w:sz="4" w:space="0" w:color="auto"/>
            </w:tcBorders>
          </w:tcPr>
          <w:p w14:paraId="5EDCEFBE"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Ejemplo:</w:t>
            </w:r>
          </w:p>
          <w:p w14:paraId="5CE62B2E"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1. Actividades permanentes de prevención de riesgos laborales</w:t>
            </w:r>
          </w:p>
          <w:p w14:paraId="051377C7" w14:textId="77777777" w:rsidR="00355070" w:rsidRDefault="00355070" w:rsidP="005D70E3">
            <w:pPr>
              <w:jc w:val="both"/>
              <w:textAlignment w:val="baseline"/>
              <w:rPr>
                <w:rFonts w:ascii="Calibri" w:eastAsia="Times New Roman" w:hAnsi="Calibri" w:cs="Times New Roman"/>
                <w:bCs/>
                <w:color w:val="000000"/>
                <w:lang w:val="es-CL" w:eastAsia="es-CL"/>
              </w:rPr>
            </w:pPr>
          </w:p>
        </w:tc>
        <w:tc>
          <w:tcPr>
            <w:tcW w:w="2247" w:type="dxa"/>
            <w:tcBorders>
              <w:top w:val="single" w:sz="4" w:space="0" w:color="auto"/>
              <w:left w:val="single" w:sz="4" w:space="0" w:color="auto"/>
              <w:bottom w:val="single" w:sz="4" w:space="0" w:color="auto"/>
              <w:right w:val="single" w:sz="4" w:space="0" w:color="auto"/>
            </w:tcBorders>
            <w:hideMark/>
          </w:tcPr>
          <w:p w14:paraId="56E6CEA1"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Ejemplo:</w:t>
            </w:r>
          </w:p>
          <w:p w14:paraId="6F91DF4F" w14:textId="77777777" w:rsidR="00355070" w:rsidRDefault="00355070" w:rsidP="005D70E3">
            <w:pPr>
              <w:jc w:val="both"/>
              <w:textAlignment w:val="baseline"/>
              <w:rPr>
                <w:rFonts w:ascii="Calibri" w:eastAsia="Times New Roman" w:hAnsi="Calibri" w:cs="Times New Roman"/>
                <w:bCs/>
                <w:color w:val="000000"/>
                <w:lang w:val="es-CL" w:eastAsia="es-CL"/>
              </w:rPr>
            </w:pPr>
            <w:r>
              <w:rPr>
                <w:rFonts w:ascii="Calibri" w:eastAsia="Times New Roman" w:hAnsi="Calibri" w:cs="Times New Roman"/>
                <w:bCs/>
                <w:color w:val="000000"/>
                <w:lang w:val="es-CL" w:eastAsia="es-CL"/>
              </w:rPr>
              <w:t>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Comités Paritarios, según sea el caso, con independencia de la ocurrencia o no de siniestros de accidentes del trabajo o enfermedades profesionales.</w:t>
            </w:r>
          </w:p>
        </w:tc>
        <w:tc>
          <w:tcPr>
            <w:tcW w:w="2565" w:type="dxa"/>
            <w:tcBorders>
              <w:top w:val="single" w:sz="4" w:space="0" w:color="auto"/>
              <w:left w:val="single" w:sz="4" w:space="0" w:color="auto"/>
              <w:bottom w:val="single" w:sz="4" w:space="0" w:color="auto"/>
              <w:right w:val="single" w:sz="4" w:space="0" w:color="auto"/>
            </w:tcBorders>
          </w:tcPr>
          <w:p w14:paraId="4A30DE52" w14:textId="77777777" w:rsidR="00355070" w:rsidRDefault="00355070" w:rsidP="005D70E3">
            <w:pPr>
              <w:jc w:val="both"/>
              <w:textAlignment w:val="baseline"/>
              <w:rPr>
                <w:rFonts w:ascii="Calibri" w:eastAsia="Times New Roman" w:hAnsi="Calibri" w:cs="Times New Roman"/>
                <w:bCs/>
                <w:color w:val="000000"/>
                <w:lang w:val="es-CL" w:eastAsia="es-CL"/>
              </w:rPr>
            </w:pPr>
          </w:p>
        </w:tc>
      </w:tr>
      <w:tr w:rsidR="00355070" w14:paraId="02D0AC4E" w14:textId="77777777" w:rsidTr="005D70E3">
        <w:trPr>
          <w:jc w:val="center"/>
        </w:trPr>
        <w:tc>
          <w:tcPr>
            <w:tcW w:w="1522" w:type="dxa"/>
            <w:tcBorders>
              <w:top w:val="single" w:sz="4" w:space="0" w:color="auto"/>
              <w:left w:val="single" w:sz="4" w:space="0" w:color="auto"/>
              <w:bottom w:val="single" w:sz="4" w:space="0" w:color="auto"/>
              <w:right w:val="single" w:sz="4" w:space="0" w:color="auto"/>
            </w:tcBorders>
          </w:tcPr>
          <w:p w14:paraId="27A8558A" w14:textId="77777777" w:rsidR="00355070" w:rsidRDefault="00355070" w:rsidP="005D70E3">
            <w:pPr>
              <w:jc w:val="both"/>
              <w:textAlignment w:val="baseline"/>
              <w:rPr>
                <w:rFonts w:ascii="Calibri" w:eastAsia="Times New Roman" w:hAnsi="Calibri" w:cs="Times New Roman"/>
                <w:bCs/>
                <w:color w:val="000000"/>
                <w:lang w:val="es-CL" w:eastAsia="es-CL"/>
              </w:rPr>
            </w:pPr>
          </w:p>
        </w:tc>
        <w:tc>
          <w:tcPr>
            <w:tcW w:w="1721" w:type="dxa"/>
            <w:tcBorders>
              <w:top w:val="single" w:sz="4" w:space="0" w:color="auto"/>
              <w:left w:val="single" w:sz="4" w:space="0" w:color="auto"/>
              <w:bottom w:val="single" w:sz="4" w:space="0" w:color="auto"/>
              <w:right w:val="single" w:sz="4" w:space="0" w:color="auto"/>
            </w:tcBorders>
          </w:tcPr>
          <w:p w14:paraId="7FE644DA" w14:textId="77777777" w:rsidR="00355070" w:rsidRDefault="00355070" w:rsidP="005D70E3">
            <w:pPr>
              <w:jc w:val="both"/>
              <w:textAlignment w:val="baseline"/>
              <w:rPr>
                <w:rFonts w:ascii="Calibri" w:eastAsia="Times New Roman" w:hAnsi="Calibri" w:cs="Times New Roman"/>
                <w:bCs/>
                <w:color w:val="000000"/>
                <w:lang w:val="es-CL" w:eastAsia="es-CL"/>
              </w:rPr>
            </w:pPr>
          </w:p>
        </w:tc>
        <w:tc>
          <w:tcPr>
            <w:tcW w:w="1721" w:type="dxa"/>
            <w:tcBorders>
              <w:top w:val="single" w:sz="4" w:space="0" w:color="auto"/>
              <w:left w:val="single" w:sz="4" w:space="0" w:color="auto"/>
              <w:bottom w:val="single" w:sz="4" w:space="0" w:color="auto"/>
              <w:right w:val="single" w:sz="4" w:space="0" w:color="auto"/>
            </w:tcBorders>
          </w:tcPr>
          <w:p w14:paraId="3FEC6877" w14:textId="77777777" w:rsidR="00355070" w:rsidRDefault="00355070" w:rsidP="005D70E3">
            <w:pPr>
              <w:jc w:val="both"/>
              <w:textAlignment w:val="baseline"/>
              <w:rPr>
                <w:rFonts w:ascii="Calibri" w:eastAsia="Times New Roman" w:hAnsi="Calibri" w:cs="Times New Roman"/>
                <w:bCs/>
                <w:color w:val="000000"/>
                <w:lang w:val="es-CL" w:eastAsia="es-CL"/>
              </w:rPr>
            </w:pPr>
          </w:p>
        </w:tc>
        <w:tc>
          <w:tcPr>
            <w:tcW w:w="2247" w:type="dxa"/>
            <w:tcBorders>
              <w:top w:val="single" w:sz="4" w:space="0" w:color="auto"/>
              <w:left w:val="single" w:sz="4" w:space="0" w:color="auto"/>
              <w:bottom w:val="single" w:sz="4" w:space="0" w:color="auto"/>
              <w:right w:val="single" w:sz="4" w:space="0" w:color="auto"/>
            </w:tcBorders>
          </w:tcPr>
          <w:p w14:paraId="6B706E13" w14:textId="77777777" w:rsidR="00355070" w:rsidRDefault="00355070" w:rsidP="005D70E3">
            <w:pPr>
              <w:jc w:val="both"/>
              <w:textAlignment w:val="baseline"/>
              <w:rPr>
                <w:rFonts w:ascii="Calibri" w:eastAsia="Times New Roman" w:hAnsi="Calibri" w:cs="Times New Roman"/>
                <w:bCs/>
                <w:color w:val="000000"/>
                <w:lang w:val="es-CL" w:eastAsia="es-CL"/>
              </w:rPr>
            </w:pPr>
          </w:p>
        </w:tc>
        <w:tc>
          <w:tcPr>
            <w:tcW w:w="2565" w:type="dxa"/>
            <w:tcBorders>
              <w:top w:val="single" w:sz="4" w:space="0" w:color="auto"/>
              <w:left w:val="single" w:sz="4" w:space="0" w:color="auto"/>
              <w:bottom w:val="single" w:sz="4" w:space="0" w:color="auto"/>
              <w:right w:val="single" w:sz="4" w:space="0" w:color="auto"/>
            </w:tcBorders>
          </w:tcPr>
          <w:p w14:paraId="533BCEBB" w14:textId="77777777" w:rsidR="00355070" w:rsidRDefault="00355070" w:rsidP="005D70E3">
            <w:pPr>
              <w:jc w:val="both"/>
              <w:textAlignment w:val="baseline"/>
              <w:rPr>
                <w:rFonts w:ascii="Calibri" w:eastAsia="Times New Roman" w:hAnsi="Calibri" w:cs="Times New Roman"/>
                <w:bCs/>
                <w:color w:val="000000"/>
                <w:lang w:val="es-CL" w:eastAsia="es-CL"/>
              </w:rPr>
            </w:pPr>
          </w:p>
          <w:p w14:paraId="3876B147" w14:textId="77777777" w:rsidR="00355070" w:rsidRDefault="00355070" w:rsidP="005D70E3">
            <w:pPr>
              <w:jc w:val="both"/>
              <w:textAlignment w:val="baseline"/>
              <w:rPr>
                <w:rFonts w:ascii="Calibri" w:eastAsia="Times New Roman" w:hAnsi="Calibri" w:cs="Times New Roman"/>
                <w:bCs/>
                <w:color w:val="000000"/>
                <w:lang w:val="es-CL" w:eastAsia="es-CL"/>
              </w:rPr>
            </w:pPr>
          </w:p>
          <w:p w14:paraId="3C7BC65D" w14:textId="77777777" w:rsidR="00355070" w:rsidRDefault="00355070" w:rsidP="005D70E3">
            <w:pPr>
              <w:jc w:val="both"/>
              <w:textAlignment w:val="baseline"/>
              <w:rPr>
                <w:rFonts w:ascii="Calibri" w:eastAsia="Times New Roman" w:hAnsi="Calibri" w:cs="Times New Roman"/>
                <w:bCs/>
                <w:color w:val="000000"/>
                <w:lang w:val="es-CL" w:eastAsia="es-CL"/>
              </w:rPr>
            </w:pPr>
          </w:p>
          <w:p w14:paraId="7375A1E4" w14:textId="77777777" w:rsidR="00355070" w:rsidRDefault="00355070" w:rsidP="005D70E3">
            <w:pPr>
              <w:jc w:val="both"/>
              <w:textAlignment w:val="baseline"/>
              <w:rPr>
                <w:rFonts w:ascii="Calibri" w:eastAsia="Times New Roman" w:hAnsi="Calibri" w:cs="Times New Roman"/>
                <w:bCs/>
                <w:color w:val="000000"/>
                <w:lang w:val="es-CL" w:eastAsia="es-CL"/>
              </w:rPr>
            </w:pPr>
          </w:p>
        </w:tc>
      </w:tr>
    </w:tbl>
    <w:p w14:paraId="5E9F1C09" w14:textId="77777777" w:rsidR="00355070" w:rsidRPr="00F07ABB" w:rsidRDefault="00355070" w:rsidP="00F07ABB">
      <w:pPr>
        <w:jc w:val="both"/>
      </w:pPr>
    </w:p>
    <w:sectPr w:rsidR="00355070" w:rsidRPr="00F07AB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BE95" w14:textId="77777777" w:rsidR="00135EDA" w:rsidRDefault="00135EDA" w:rsidP="00050650">
      <w:pPr>
        <w:spacing w:after="0" w:line="240" w:lineRule="auto"/>
      </w:pPr>
      <w:r>
        <w:separator/>
      </w:r>
    </w:p>
  </w:endnote>
  <w:endnote w:type="continuationSeparator" w:id="0">
    <w:p w14:paraId="1DF1B8A0" w14:textId="77777777" w:rsidR="00135EDA" w:rsidRDefault="00135EDA" w:rsidP="0005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06CC" w14:textId="77777777" w:rsidR="00135EDA" w:rsidRDefault="00135EDA" w:rsidP="00050650">
      <w:pPr>
        <w:spacing w:after="0" w:line="240" w:lineRule="auto"/>
      </w:pPr>
      <w:r>
        <w:separator/>
      </w:r>
    </w:p>
  </w:footnote>
  <w:footnote w:type="continuationSeparator" w:id="0">
    <w:p w14:paraId="5CEB9E15" w14:textId="77777777" w:rsidR="00135EDA" w:rsidRDefault="00135EDA" w:rsidP="00050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DBD1" w14:textId="77777777" w:rsidR="00050650" w:rsidRDefault="00050650" w:rsidP="00050650">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9264" behindDoc="0" locked="0" layoutInCell="1" allowOverlap="1" wp14:anchorId="13433E47" wp14:editId="15B8F3D3">
          <wp:simplePos x="0" y="0"/>
          <wp:positionH relativeFrom="column">
            <wp:posOffset>635</wp:posOffset>
          </wp:positionH>
          <wp:positionV relativeFrom="paragraph">
            <wp:posOffset>-50165</wp:posOffset>
          </wp:positionV>
          <wp:extent cx="441960" cy="400050"/>
          <wp:effectExtent l="0" t="0" r="0" b="0"/>
          <wp:wrapSquare wrapText="bothSides"/>
          <wp:docPr id="2"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anchor>
      </w:drawing>
    </w:r>
    <w:r>
      <w:rPr>
        <w:szCs w:val="20"/>
      </w:rPr>
      <w:t>Superintendencia de Seguridad Social</w:t>
    </w:r>
  </w:p>
  <w:p w14:paraId="147CCFF9" w14:textId="77777777" w:rsidR="00050650" w:rsidRDefault="00050650" w:rsidP="00050650">
    <w:pPr>
      <w:pStyle w:val="HeaderEven"/>
      <w:ind w:left="993"/>
      <w:rPr>
        <w:szCs w:val="20"/>
      </w:rPr>
    </w:pPr>
    <w:r>
      <w:rPr>
        <w:szCs w:val="20"/>
      </w:rPr>
      <w:t>Intendencia de Seguridad y Salud en el Trabajo</w:t>
    </w:r>
  </w:p>
  <w:p w14:paraId="1707668E" w14:textId="77777777" w:rsidR="00050650" w:rsidRDefault="000506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521E0"/>
    <w:multiLevelType w:val="hybridMultilevel"/>
    <w:tmpl w:val="62E42BA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7912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6A"/>
    <w:rsid w:val="00017C8D"/>
    <w:rsid w:val="00050650"/>
    <w:rsid w:val="000F3F15"/>
    <w:rsid w:val="00135EDA"/>
    <w:rsid w:val="00205E78"/>
    <w:rsid w:val="002700A1"/>
    <w:rsid w:val="00353C11"/>
    <w:rsid w:val="00355070"/>
    <w:rsid w:val="004E396A"/>
    <w:rsid w:val="006B3F7B"/>
    <w:rsid w:val="00814303"/>
    <w:rsid w:val="00850D5F"/>
    <w:rsid w:val="008C7B20"/>
    <w:rsid w:val="009325EC"/>
    <w:rsid w:val="00B31CFB"/>
    <w:rsid w:val="00E00BA0"/>
    <w:rsid w:val="00E95D9E"/>
    <w:rsid w:val="00E977AD"/>
    <w:rsid w:val="00F07ABB"/>
    <w:rsid w:val="00FF60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AF4A"/>
  <w15:chartTrackingRefBased/>
  <w15:docId w15:val="{A5F22D5F-BC82-4CA0-90B3-9A3B2A81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ABB"/>
    <w:pPr>
      <w:ind w:left="720"/>
      <w:contextualSpacing/>
    </w:pPr>
  </w:style>
  <w:style w:type="paragraph" w:styleId="Encabezado">
    <w:name w:val="header"/>
    <w:basedOn w:val="Normal"/>
    <w:link w:val="EncabezadoCar"/>
    <w:uiPriority w:val="99"/>
    <w:unhideWhenUsed/>
    <w:rsid w:val="000506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0650"/>
    <w:rPr>
      <w:noProof/>
    </w:rPr>
  </w:style>
  <w:style w:type="paragraph" w:styleId="Piedepgina">
    <w:name w:val="footer"/>
    <w:basedOn w:val="Normal"/>
    <w:link w:val="PiedepginaCar"/>
    <w:uiPriority w:val="99"/>
    <w:unhideWhenUsed/>
    <w:rsid w:val="000506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0650"/>
    <w:rPr>
      <w:noProof/>
    </w:rPr>
  </w:style>
  <w:style w:type="paragraph" w:customStyle="1" w:styleId="HeaderEven">
    <w:name w:val="Header Even"/>
    <w:basedOn w:val="Sinespaciado"/>
    <w:qFormat/>
    <w:rsid w:val="00050650"/>
    <w:pPr>
      <w:pBdr>
        <w:bottom w:val="single" w:sz="4" w:space="1" w:color="5B9BD5" w:themeColor="accent1"/>
      </w:pBdr>
    </w:pPr>
    <w:rPr>
      <w:rFonts w:eastAsiaTheme="minorEastAsia"/>
      <w:b/>
      <w:bCs/>
      <w:noProof w:val="0"/>
      <w:color w:val="44546A" w:themeColor="text2"/>
      <w:sz w:val="20"/>
      <w:szCs w:val="23"/>
      <w:lang w:val="es-ES" w:eastAsia="fr-FR"/>
    </w:rPr>
  </w:style>
  <w:style w:type="paragraph" w:styleId="Sinespaciado">
    <w:name w:val="No Spacing"/>
    <w:uiPriority w:val="1"/>
    <w:qFormat/>
    <w:rsid w:val="00050650"/>
    <w:pPr>
      <w:spacing w:after="0" w:line="240" w:lineRule="auto"/>
    </w:pPr>
    <w:rPr>
      <w:noProof/>
    </w:rPr>
  </w:style>
  <w:style w:type="table" w:styleId="Tablaconcuadrcula">
    <w:name w:val="Table Grid"/>
    <w:basedOn w:val="Tablanormal"/>
    <w:uiPriority w:val="59"/>
    <w:rsid w:val="00355070"/>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Daniel Soto Toledo</dc:creator>
  <cp:keywords/>
  <dc:description/>
  <cp:lastModifiedBy>Erick Aguilera</cp:lastModifiedBy>
  <cp:revision>5</cp:revision>
  <cp:lastPrinted>2022-07-28T06:46:00Z</cp:lastPrinted>
  <dcterms:created xsi:type="dcterms:W3CDTF">2022-07-27T23:18:00Z</dcterms:created>
  <dcterms:modified xsi:type="dcterms:W3CDTF">2022-07-28T14:04:00Z</dcterms:modified>
</cp:coreProperties>
</file>