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E904" w14:textId="77777777" w:rsidR="005A4B2D" w:rsidRDefault="004B4676" w:rsidP="004B4676">
      <w:pPr>
        <w:ind w:right="-220"/>
        <w:jc w:val="center"/>
        <w:rPr>
          <w:b/>
          <w:bCs/>
        </w:rPr>
      </w:pPr>
      <w:r>
        <w:rPr>
          <w:b/>
          <w:bCs/>
        </w:rPr>
        <w:t xml:space="preserve">MINUTA </w:t>
      </w:r>
    </w:p>
    <w:p w14:paraId="7F54AF00" w14:textId="77777777" w:rsidR="005A4B2D" w:rsidRPr="005A4B2D" w:rsidRDefault="00217C65" w:rsidP="005A4B2D">
      <w:pPr>
        <w:spacing w:after="1" w:line="258" w:lineRule="auto"/>
        <w:ind w:right="54"/>
        <w:jc w:val="center"/>
        <w:rPr>
          <w:rFonts w:ascii="Calibri" w:eastAsia="Calibri" w:hAnsi="Calibri" w:cs="Calibri"/>
          <w:b/>
          <w:color w:val="000000"/>
          <w:lang w:eastAsia="es-CL"/>
        </w:rPr>
      </w:pPr>
      <w:r w:rsidRPr="005A4B2D">
        <w:rPr>
          <w:rFonts w:ascii="Calibri" w:hAnsi="Calibri" w:cs="Calibri"/>
          <w:b/>
          <w:bCs/>
        </w:rPr>
        <w:t>PROYECTO DE CIRCULAR</w:t>
      </w:r>
      <w:r w:rsidR="004B4676" w:rsidRPr="005A4B2D">
        <w:rPr>
          <w:rFonts w:ascii="Calibri" w:hAnsi="Calibri" w:cs="Calibri"/>
          <w:b/>
          <w:bCs/>
        </w:rPr>
        <w:t xml:space="preserve"> </w:t>
      </w:r>
      <w:r w:rsidR="005A4B2D" w:rsidRPr="005A4B2D">
        <w:rPr>
          <w:rFonts w:ascii="Calibri" w:hAnsi="Calibri" w:cs="Calibri"/>
          <w:b/>
          <w:bCs/>
        </w:rPr>
        <w:t>RECHAZO DE LICENCIA MÉDICA O REPOSO MÉDICO POR CALIFICACIÓN DE ORIGEN COMÚN O LABORAL, APLICACIÓN DEL ARTÍCULO 77 BIS DE LA LEY N°16.744</w:t>
      </w:r>
    </w:p>
    <w:p w14:paraId="64AFD61E" w14:textId="6ECA85F0" w:rsidR="00217C65" w:rsidRPr="0092657C" w:rsidRDefault="00217C65" w:rsidP="005A4B2D">
      <w:pPr>
        <w:ind w:right="-220"/>
        <w:jc w:val="center"/>
        <w:rPr>
          <w:b/>
          <w:bCs/>
        </w:rPr>
      </w:pPr>
    </w:p>
    <w:p w14:paraId="5C6C2819" w14:textId="3B0C694C" w:rsidR="0064445D" w:rsidRPr="00B62491" w:rsidRDefault="00287C5B" w:rsidP="0064445D">
      <w:pPr>
        <w:spacing w:before="120" w:after="120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</w:rPr>
        <w:t xml:space="preserve">La Superintendencia de Seguridad Social, en el uso de las atribuciones que le que le confieren los artículos 2, 3 y 30 y 38 de la Ley N°16.395 y </w:t>
      </w:r>
      <w:r w:rsidR="00AD48C1" w:rsidRPr="00B62491">
        <w:rPr>
          <w:rFonts w:ascii="Calibri" w:hAnsi="Calibri" w:cs="Calibri"/>
        </w:rPr>
        <w:t xml:space="preserve">dispuesto en </w:t>
      </w:r>
      <w:r w:rsidRPr="00B62491">
        <w:rPr>
          <w:rFonts w:ascii="Calibri" w:hAnsi="Calibri" w:cs="Calibri"/>
        </w:rPr>
        <w:t xml:space="preserve">el artículo </w:t>
      </w:r>
      <w:r w:rsidR="0052230C" w:rsidRPr="00B62491">
        <w:rPr>
          <w:rFonts w:ascii="Calibri" w:hAnsi="Calibri" w:cs="Calibri"/>
        </w:rPr>
        <w:t xml:space="preserve">77 Y 77 </w:t>
      </w:r>
      <w:r w:rsidR="00D8170A" w:rsidRPr="00B62491">
        <w:rPr>
          <w:rFonts w:ascii="Calibri" w:hAnsi="Calibri" w:cs="Calibri"/>
        </w:rPr>
        <w:t>bis</w:t>
      </w:r>
      <w:r w:rsidRPr="00B62491">
        <w:rPr>
          <w:rFonts w:ascii="Calibri" w:hAnsi="Calibri" w:cs="Calibri"/>
        </w:rPr>
        <w:t xml:space="preserve"> de la Ley N°16.744, ha estimado pertinente</w:t>
      </w:r>
      <w:r w:rsidR="00AD48C1" w:rsidRPr="00B62491">
        <w:rPr>
          <w:rFonts w:ascii="Calibri" w:hAnsi="Calibri" w:cs="Calibri"/>
        </w:rPr>
        <w:t xml:space="preserve"> modificar y complementar las</w:t>
      </w:r>
      <w:r w:rsidR="0052230C" w:rsidRPr="00B62491">
        <w:rPr>
          <w:rFonts w:ascii="Calibri" w:hAnsi="Calibri" w:cs="Calibri"/>
        </w:rPr>
        <w:t xml:space="preserve"> instrucciones sobre la</w:t>
      </w:r>
      <w:r w:rsidRPr="00B62491">
        <w:rPr>
          <w:rFonts w:ascii="Calibri" w:hAnsi="Calibri" w:cs="Calibri"/>
        </w:rPr>
        <w:t xml:space="preserve"> aplicación del artículo 77 bis, </w:t>
      </w:r>
      <w:r w:rsidR="005A4B2D">
        <w:rPr>
          <w:rFonts w:ascii="Calibri" w:hAnsi="Calibri" w:cs="Calibri"/>
          <w:lang w:val="es-ES"/>
        </w:rPr>
        <w:t xml:space="preserve">contenidas en </w:t>
      </w:r>
      <w:r w:rsidR="00C50D53" w:rsidRPr="00B62491">
        <w:rPr>
          <w:rFonts w:ascii="Calibri" w:hAnsi="Calibri" w:cs="Calibri"/>
          <w:lang w:val="es-ES"/>
        </w:rPr>
        <w:t>el</w:t>
      </w:r>
      <w:r w:rsidR="0052230C" w:rsidRPr="00B62491">
        <w:rPr>
          <w:rFonts w:ascii="Calibri" w:hAnsi="Calibri" w:cs="Calibri"/>
          <w:lang w:val="es-ES"/>
        </w:rPr>
        <w:t xml:space="preserve"> </w:t>
      </w:r>
      <w:r w:rsidR="00C50D53" w:rsidRPr="00B62491">
        <w:rPr>
          <w:rFonts w:ascii="Calibri" w:hAnsi="Calibri" w:cs="Calibri"/>
          <w:lang w:val="es-ES"/>
        </w:rPr>
        <w:t>Título IV. Rechazo por calificación de origen común o laboral artículo 77 bis</w:t>
      </w:r>
      <w:r w:rsidR="005A4B2D">
        <w:rPr>
          <w:rFonts w:ascii="Calibri" w:hAnsi="Calibri" w:cs="Calibri"/>
          <w:lang w:val="es-ES"/>
        </w:rPr>
        <w:t xml:space="preserve"> Ley N°16.744</w:t>
      </w:r>
      <w:r w:rsidR="00AD48C1" w:rsidRPr="00B62491">
        <w:rPr>
          <w:rFonts w:ascii="Calibri" w:hAnsi="Calibri" w:cs="Calibri"/>
          <w:lang w:val="es-ES"/>
        </w:rPr>
        <w:t>,</w:t>
      </w:r>
      <w:r w:rsidR="0064445D" w:rsidRPr="00B62491">
        <w:rPr>
          <w:rFonts w:ascii="Calibri" w:hAnsi="Calibri" w:cs="Calibri"/>
          <w:lang w:val="es-ES"/>
        </w:rPr>
        <w:t xml:space="preserve"> del </w:t>
      </w:r>
      <w:r w:rsidR="0052230C" w:rsidRPr="00B62491">
        <w:rPr>
          <w:rFonts w:ascii="Calibri" w:hAnsi="Calibri" w:cs="Calibri"/>
          <w:lang w:val="es-ES"/>
        </w:rPr>
        <w:t>L</w:t>
      </w:r>
      <w:r w:rsidR="00D8170A" w:rsidRPr="00B62491">
        <w:rPr>
          <w:rFonts w:ascii="Calibri" w:hAnsi="Calibri" w:cs="Calibri"/>
          <w:lang w:val="es-ES"/>
        </w:rPr>
        <w:t>ibro</w:t>
      </w:r>
      <w:r w:rsidR="0052230C" w:rsidRPr="00B62491">
        <w:rPr>
          <w:rFonts w:ascii="Calibri" w:hAnsi="Calibri" w:cs="Calibri"/>
          <w:lang w:val="es-ES"/>
        </w:rPr>
        <w:t xml:space="preserve"> III</w:t>
      </w:r>
      <w:r w:rsidR="00AD48C1" w:rsidRPr="00B62491">
        <w:rPr>
          <w:rFonts w:ascii="Calibri" w:hAnsi="Calibri" w:cs="Calibri"/>
          <w:lang w:val="es-ES"/>
        </w:rPr>
        <w:t xml:space="preserve"> del </w:t>
      </w:r>
      <w:r w:rsidR="00D8170A" w:rsidRPr="00B62491">
        <w:rPr>
          <w:rFonts w:ascii="Calibri" w:hAnsi="Calibri" w:cs="Calibri"/>
          <w:lang w:val="es-ES"/>
        </w:rPr>
        <w:t>Compendio de Normas del Seguro de Accidentes del Trabajo y Enfermedades Profesionales</w:t>
      </w:r>
      <w:r w:rsidR="00AD48C1" w:rsidRPr="00B62491">
        <w:rPr>
          <w:rFonts w:ascii="Calibri" w:hAnsi="Calibri" w:cs="Calibri"/>
          <w:lang w:val="es-ES"/>
        </w:rPr>
        <w:t xml:space="preserve"> de La Ley N°16.744</w:t>
      </w:r>
      <w:r w:rsidR="005A4B2D">
        <w:rPr>
          <w:rFonts w:ascii="Calibri" w:hAnsi="Calibri" w:cs="Calibri"/>
          <w:lang w:val="es-ES"/>
        </w:rPr>
        <w:t>.</w:t>
      </w:r>
    </w:p>
    <w:p w14:paraId="37980DB8" w14:textId="636F5090" w:rsidR="00D8170A" w:rsidRPr="00B62491" w:rsidRDefault="00AD48C1" w:rsidP="0064445D">
      <w:pPr>
        <w:spacing w:before="120" w:after="120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 xml:space="preserve">Los principales </w:t>
      </w:r>
      <w:r w:rsidR="0052230C" w:rsidRPr="00B62491">
        <w:rPr>
          <w:rFonts w:ascii="Calibri" w:hAnsi="Calibri" w:cs="Calibri"/>
          <w:lang w:val="es-ES"/>
        </w:rPr>
        <w:t>aspectos que se abordan</w:t>
      </w:r>
      <w:r w:rsidR="00355E92" w:rsidRPr="00B62491">
        <w:rPr>
          <w:rFonts w:ascii="Calibri" w:hAnsi="Calibri" w:cs="Calibri"/>
          <w:lang w:val="es-ES"/>
        </w:rPr>
        <w:t xml:space="preserve"> en este proyecto de circular</w:t>
      </w:r>
      <w:r w:rsidRPr="00B62491">
        <w:rPr>
          <w:rFonts w:ascii="Calibri" w:hAnsi="Calibri" w:cs="Calibri"/>
          <w:lang w:val="es-ES"/>
        </w:rPr>
        <w:t>, son:</w:t>
      </w:r>
    </w:p>
    <w:p w14:paraId="539AAAB0" w14:textId="390F88C0" w:rsidR="00355E92" w:rsidRPr="00B62491" w:rsidRDefault="00AD48C1" w:rsidP="00517D10">
      <w:pPr>
        <w:pStyle w:val="Prrafodelista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>S</w:t>
      </w:r>
      <w:r w:rsidR="00D8170A" w:rsidRPr="00B62491">
        <w:rPr>
          <w:rFonts w:ascii="Calibri" w:hAnsi="Calibri" w:cs="Calibri"/>
          <w:lang w:val="es-ES"/>
        </w:rPr>
        <w:t xml:space="preserve">e </w:t>
      </w:r>
      <w:r w:rsidR="00E328A2" w:rsidRPr="00B62491">
        <w:rPr>
          <w:rFonts w:ascii="Calibri" w:hAnsi="Calibri" w:cs="Calibri"/>
          <w:lang w:val="es-ES"/>
        </w:rPr>
        <w:t xml:space="preserve">precisa </w:t>
      </w:r>
      <w:r w:rsidR="005A4B2D">
        <w:rPr>
          <w:rFonts w:ascii="Calibri" w:hAnsi="Calibri" w:cs="Calibri"/>
          <w:lang w:val="es-ES"/>
        </w:rPr>
        <w:t>lo</w:t>
      </w:r>
      <w:r w:rsidR="00355E92" w:rsidRPr="00B62491">
        <w:rPr>
          <w:rFonts w:ascii="Calibri" w:hAnsi="Calibri" w:cs="Calibri"/>
          <w:lang w:val="es-ES"/>
        </w:rPr>
        <w:t xml:space="preserve"> siguiente:</w:t>
      </w:r>
    </w:p>
    <w:p w14:paraId="779E2DE1" w14:textId="2DD432A6" w:rsidR="00355E92" w:rsidRPr="00B62491" w:rsidRDefault="00355E92" w:rsidP="00517D10">
      <w:pPr>
        <w:pStyle w:val="Prrafodelista"/>
        <w:numPr>
          <w:ilvl w:val="0"/>
          <w:numId w:val="12"/>
        </w:numPr>
        <w:spacing w:before="120" w:after="120"/>
        <w:ind w:left="426" w:hanging="142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>E</w:t>
      </w:r>
      <w:r w:rsidR="00E328A2" w:rsidRPr="00B62491">
        <w:rPr>
          <w:rFonts w:ascii="Calibri" w:hAnsi="Calibri" w:cs="Calibri"/>
          <w:lang w:val="es-ES"/>
        </w:rPr>
        <w:t>l rechazo de la licencia médica u orden reposo, basado en el origen profesional o no de la enfermedad o accidente,</w:t>
      </w:r>
      <w:r w:rsidR="0064445D" w:rsidRPr="00B62491">
        <w:rPr>
          <w:rFonts w:ascii="Calibri" w:hAnsi="Calibri" w:cs="Calibri"/>
          <w:lang w:val="es-ES"/>
        </w:rPr>
        <w:t xml:space="preserve"> </w:t>
      </w:r>
      <w:r w:rsidR="0052230C" w:rsidRPr="00B62491">
        <w:rPr>
          <w:rFonts w:ascii="Calibri" w:hAnsi="Calibri" w:cs="Calibri"/>
          <w:lang w:val="es-ES"/>
        </w:rPr>
        <w:t>debe</w:t>
      </w:r>
      <w:r w:rsidR="00E328A2" w:rsidRPr="00B62491">
        <w:rPr>
          <w:rFonts w:ascii="Calibri" w:hAnsi="Calibri" w:cs="Calibri"/>
          <w:lang w:val="es-ES"/>
        </w:rPr>
        <w:t xml:space="preserve"> </w:t>
      </w:r>
      <w:r w:rsidR="00E328A2" w:rsidRPr="00D7202C">
        <w:rPr>
          <w:rFonts w:ascii="Calibri" w:eastAsia="Calibri" w:hAnsi="Calibri" w:cs="Calibri"/>
          <w:color w:val="000000"/>
        </w:rPr>
        <w:t>estar sustentado en antecedentes médicos concretos del respectivo trabajador que hagan plausible su eventual discusión ante el organismo que actúa como segundo interviniente</w:t>
      </w:r>
      <w:r w:rsidR="00500958">
        <w:rPr>
          <w:rFonts w:ascii="Calibri" w:eastAsia="Calibri" w:hAnsi="Calibri" w:cs="Calibri"/>
          <w:color w:val="000000"/>
        </w:rPr>
        <w:t>,</w:t>
      </w:r>
      <w:r w:rsidR="00E328A2" w:rsidRPr="00D7202C">
        <w:rPr>
          <w:rFonts w:ascii="Calibri" w:eastAsia="Calibri" w:hAnsi="Calibri" w:cs="Calibri"/>
          <w:color w:val="000000"/>
        </w:rPr>
        <w:t xml:space="preserve"> así como, ante la Superintendencia de Seguridad Social</w:t>
      </w:r>
      <w:r w:rsidR="0052230C" w:rsidRPr="00B62491">
        <w:rPr>
          <w:rFonts w:ascii="Calibri" w:hAnsi="Calibri" w:cs="Calibri"/>
          <w:lang w:val="es-ES"/>
        </w:rPr>
        <w:t>.</w:t>
      </w:r>
      <w:r w:rsidR="00D8170A" w:rsidRPr="00B62491">
        <w:rPr>
          <w:rFonts w:ascii="Calibri" w:hAnsi="Calibri" w:cs="Calibri"/>
          <w:lang w:val="es-ES"/>
        </w:rPr>
        <w:t xml:space="preserve"> </w:t>
      </w:r>
      <w:r w:rsidR="0064445D" w:rsidRPr="00B62491">
        <w:rPr>
          <w:rFonts w:ascii="Calibri" w:hAnsi="Calibri" w:cs="Calibri"/>
          <w:lang w:val="es-ES"/>
        </w:rPr>
        <w:t>En dicho sentido,</w:t>
      </w:r>
      <w:r w:rsidR="00DC0CBD" w:rsidRPr="00B62491">
        <w:rPr>
          <w:rFonts w:ascii="Calibri" w:hAnsi="Calibri" w:cs="Calibri"/>
          <w:lang w:val="es-ES"/>
        </w:rPr>
        <w:t xml:space="preserve"> </w:t>
      </w:r>
      <w:r w:rsidR="00500958">
        <w:rPr>
          <w:rFonts w:ascii="Calibri" w:hAnsi="Calibri" w:cs="Calibri"/>
          <w:lang w:val="es-ES"/>
        </w:rPr>
        <w:t xml:space="preserve">se </w:t>
      </w:r>
      <w:r w:rsidR="00AB7A36" w:rsidRPr="00B62491">
        <w:rPr>
          <w:rFonts w:ascii="Calibri" w:hAnsi="Calibri" w:cs="Calibri"/>
          <w:lang w:val="es-ES"/>
        </w:rPr>
        <w:t>señalan</w:t>
      </w:r>
      <w:r w:rsidR="0064445D" w:rsidRPr="00B62491">
        <w:rPr>
          <w:rFonts w:ascii="Calibri" w:hAnsi="Calibri" w:cs="Calibri"/>
          <w:lang w:val="es-ES"/>
        </w:rPr>
        <w:t xml:space="preserve"> los antecedentes que, a lo menos</w:t>
      </w:r>
      <w:r w:rsidR="00E328A2" w:rsidRPr="00B62491">
        <w:rPr>
          <w:rFonts w:ascii="Calibri" w:hAnsi="Calibri" w:cs="Calibri"/>
          <w:lang w:val="es-ES"/>
        </w:rPr>
        <w:t>,</w:t>
      </w:r>
      <w:r w:rsidR="0064445D" w:rsidRPr="00B62491">
        <w:rPr>
          <w:rFonts w:ascii="Calibri" w:hAnsi="Calibri" w:cs="Calibri"/>
          <w:lang w:val="es-ES"/>
        </w:rPr>
        <w:t xml:space="preserve"> debiesen sustentar ese rechazo</w:t>
      </w:r>
      <w:r w:rsidR="00D8170A" w:rsidRPr="00B62491">
        <w:rPr>
          <w:rFonts w:ascii="Calibri" w:hAnsi="Calibri" w:cs="Calibri"/>
          <w:lang w:val="es-ES"/>
        </w:rPr>
        <w:t>.</w:t>
      </w:r>
    </w:p>
    <w:p w14:paraId="01A57DD9" w14:textId="40A7D3A9" w:rsidR="00D9114B" w:rsidRPr="00B62491" w:rsidRDefault="00355E92" w:rsidP="00517D10">
      <w:pPr>
        <w:pStyle w:val="Prrafodelista"/>
        <w:numPr>
          <w:ilvl w:val="0"/>
          <w:numId w:val="12"/>
        </w:numPr>
        <w:spacing w:before="120" w:after="120"/>
        <w:ind w:left="426" w:hanging="142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>La</w:t>
      </w:r>
      <w:r w:rsidR="004B68BB" w:rsidRPr="00B62491">
        <w:rPr>
          <w:rFonts w:ascii="Calibri" w:hAnsi="Calibri" w:cs="Calibri"/>
          <w:lang w:val="es-ES"/>
        </w:rPr>
        <w:t xml:space="preserve"> licencia médica de derivación</w:t>
      </w:r>
      <w:r w:rsidRPr="00B62491">
        <w:rPr>
          <w:rFonts w:ascii="Calibri" w:hAnsi="Calibri" w:cs="Calibri"/>
          <w:lang w:val="es-ES"/>
        </w:rPr>
        <w:t xml:space="preserve"> que emitan l</w:t>
      </w:r>
      <w:r w:rsidRPr="00B62491">
        <w:rPr>
          <w:rFonts w:ascii="Calibri" w:hAnsi="Calibri" w:cs="Calibri"/>
          <w:lang w:val="es-ES"/>
        </w:rPr>
        <w:t>os organismos administradores</w:t>
      </w:r>
      <w:r w:rsidRPr="00B62491">
        <w:rPr>
          <w:rFonts w:ascii="Calibri" w:hAnsi="Calibri" w:cs="Calibri"/>
          <w:lang w:val="es-ES"/>
        </w:rPr>
        <w:t xml:space="preserve"> del Seguro de la Ley N°16.744,</w:t>
      </w:r>
      <w:r w:rsidRPr="00B62491">
        <w:rPr>
          <w:rFonts w:ascii="Calibri" w:hAnsi="Calibri" w:cs="Calibri"/>
          <w:lang w:val="es-ES"/>
        </w:rPr>
        <w:t xml:space="preserve"> </w:t>
      </w:r>
      <w:r w:rsidR="004B68BB" w:rsidRPr="00B62491">
        <w:rPr>
          <w:rFonts w:ascii="Calibri" w:hAnsi="Calibri" w:cs="Calibri"/>
          <w:lang w:val="es-ES"/>
        </w:rPr>
        <w:t xml:space="preserve">debe contener a lo menos un día de reposo futuro y extenderse por un período de reposo que no sea superior a 30 días corridos. </w:t>
      </w:r>
      <w:r w:rsidR="00C030F0" w:rsidRPr="00B62491">
        <w:rPr>
          <w:rFonts w:ascii="Calibri" w:hAnsi="Calibri" w:cs="Calibri"/>
          <w:lang w:val="es-ES"/>
        </w:rPr>
        <w:t>Se agrega que e</w:t>
      </w:r>
      <w:r w:rsidR="004B68BB" w:rsidRPr="00B62491">
        <w:rPr>
          <w:rFonts w:ascii="Calibri" w:hAnsi="Calibri" w:cs="Calibri"/>
          <w:lang w:val="es-ES"/>
        </w:rPr>
        <w:t>xcepcionalmente, es posible extender una licencia médica “de derivación” sin días de reposo futuro</w:t>
      </w:r>
      <w:r w:rsidRPr="00B62491">
        <w:rPr>
          <w:rFonts w:ascii="Calibri" w:hAnsi="Calibri" w:cs="Calibri"/>
          <w:lang w:val="es-ES"/>
        </w:rPr>
        <w:t xml:space="preserve">, </w:t>
      </w:r>
      <w:r w:rsidR="004B68BB" w:rsidRPr="00B62491">
        <w:rPr>
          <w:rFonts w:ascii="Calibri" w:hAnsi="Calibri" w:cs="Calibri"/>
          <w:lang w:val="es-ES"/>
        </w:rPr>
        <w:t>cuando no ha</w:t>
      </w:r>
      <w:r w:rsidRPr="00B62491">
        <w:rPr>
          <w:rFonts w:ascii="Calibri" w:hAnsi="Calibri" w:cs="Calibri"/>
          <w:lang w:val="es-ES"/>
        </w:rPr>
        <w:t>yan</w:t>
      </w:r>
      <w:r w:rsidR="004B68BB" w:rsidRPr="00B62491">
        <w:rPr>
          <w:rFonts w:ascii="Calibri" w:hAnsi="Calibri" w:cs="Calibri"/>
          <w:lang w:val="es-ES"/>
        </w:rPr>
        <w:t xml:space="preserve"> transcurrido más de 30 días</w:t>
      </w:r>
      <w:r w:rsidR="00517D10" w:rsidRPr="00B62491">
        <w:rPr>
          <w:rFonts w:ascii="Calibri" w:hAnsi="Calibri" w:cs="Calibri"/>
          <w:lang w:val="es-ES"/>
        </w:rPr>
        <w:t xml:space="preserve"> </w:t>
      </w:r>
      <w:r w:rsidR="004B68BB" w:rsidRPr="00B62491">
        <w:rPr>
          <w:rFonts w:ascii="Calibri" w:hAnsi="Calibri" w:cs="Calibri"/>
          <w:lang w:val="es-ES"/>
        </w:rPr>
        <w:t xml:space="preserve">desde el inicio del reposo médico. </w:t>
      </w:r>
    </w:p>
    <w:p w14:paraId="5814EA60" w14:textId="1186F7FA" w:rsidR="0063142E" w:rsidRPr="00B62491" w:rsidRDefault="00500958" w:rsidP="0063142E">
      <w:pPr>
        <w:pStyle w:val="Prrafodelista"/>
        <w:numPr>
          <w:ilvl w:val="0"/>
          <w:numId w:val="12"/>
        </w:numPr>
        <w:spacing w:before="120" w:after="120"/>
        <w:ind w:left="426" w:hanging="142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Además, se indica </w:t>
      </w:r>
      <w:proofErr w:type="gramStart"/>
      <w:r>
        <w:rPr>
          <w:rFonts w:ascii="Calibri" w:hAnsi="Calibri" w:cs="Calibri"/>
          <w:lang w:val="es-ES"/>
        </w:rPr>
        <w:t>que</w:t>
      </w:r>
      <w:proofErr w:type="gramEnd"/>
      <w:r>
        <w:rPr>
          <w:rFonts w:ascii="Calibri" w:hAnsi="Calibri" w:cs="Calibri"/>
          <w:lang w:val="es-ES"/>
        </w:rPr>
        <w:t xml:space="preserve"> p</w:t>
      </w:r>
      <w:r w:rsidR="0063142E" w:rsidRPr="00B62491">
        <w:rPr>
          <w:rFonts w:ascii="Calibri" w:hAnsi="Calibri" w:cs="Calibri"/>
          <w:lang w:val="es-ES"/>
        </w:rPr>
        <w:t>ara la remisión de informes y exámenes médico al segundo interviniente</w:t>
      </w:r>
      <w:r w:rsidR="00991C57" w:rsidRPr="00B62491">
        <w:rPr>
          <w:rFonts w:ascii="Calibri" w:hAnsi="Calibri" w:cs="Calibri"/>
          <w:lang w:val="es-ES"/>
        </w:rPr>
        <w:t>,</w:t>
      </w:r>
      <w:r w:rsidR="0063142E" w:rsidRPr="00B62491">
        <w:rPr>
          <w:rFonts w:ascii="Calibri" w:hAnsi="Calibri" w:cs="Calibri"/>
          <w:lang w:val="es-ES"/>
        </w:rPr>
        <w:t xml:space="preserve"> se debe solicitar </w:t>
      </w:r>
      <w:r w:rsidRPr="00B62491">
        <w:rPr>
          <w:rFonts w:ascii="Calibri" w:hAnsi="Calibri" w:cs="Calibri"/>
          <w:lang w:val="es-ES"/>
        </w:rPr>
        <w:t>al trabajador</w:t>
      </w:r>
      <w:r w:rsidRPr="00B62491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su</w:t>
      </w:r>
      <w:r w:rsidR="0063142E" w:rsidRPr="00B62491">
        <w:rPr>
          <w:rFonts w:ascii="Calibri" w:hAnsi="Calibri" w:cs="Calibri"/>
          <w:lang w:val="es-ES"/>
        </w:rPr>
        <w:t xml:space="preserve"> consentimiento escrito. </w:t>
      </w:r>
      <w:r w:rsidR="0063142E" w:rsidRPr="00B62491">
        <w:rPr>
          <w:rFonts w:ascii="Calibri" w:hAnsi="Calibri" w:cs="Calibri"/>
          <w:lang w:val="es-ES"/>
        </w:rPr>
        <w:t xml:space="preserve"> </w:t>
      </w:r>
    </w:p>
    <w:p w14:paraId="38C68D9D" w14:textId="3E6ADC85" w:rsidR="0063142E" w:rsidRPr="00B62491" w:rsidRDefault="0063142E" w:rsidP="0063142E">
      <w:pPr>
        <w:pStyle w:val="Prrafodelista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>S</w:t>
      </w:r>
      <w:r w:rsidRPr="00B62491">
        <w:rPr>
          <w:rFonts w:ascii="Calibri" w:hAnsi="Calibri" w:cs="Calibri"/>
          <w:lang w:val="es-ES"/>
        </w:rPr>
        <w:t>e incorpora la opción</w:t>
      </w:r>
      <w:r w:rsidRPr="00B62491">
        <w:rPr>
          <w:rFonts w:ascii="Calibri" w:hAnsi="Calibri" w:cs="Calibri"/>
          <w:lang w:val="es-ES"/>
        </w:rPr>
        <w:t xml:space="preserve"> de emitir la</w:t>
      </w:r>
      <w:r w:rsidR="00AB7A36" w:rsidRPr="00B62491">
        <w:rPr>
          <w:rFonts w:ascii="Calibri" w:hAnsi="Calibri" w:cs="Calibri"/>
          <w:lang w:val="es-ES"/>
        </w:rPr>
        <w:t xml:space="preserve"> licencia médica de derivación </w:t>
      </w:r>
      <w:r w:rsidRPr="00B62491">
        <w:rPr>
          <w:rFonts w:ascii="Calibri" w:hAnsi="Calibri" w:cs="Calibri"/>
          <w:lang w:val="es-ES"/>
        </w:rPr>
        <w:t>de manera</w:t>
      </w:r>
      <w:r w:rsidR="00AB7A36" w:rsidRPr="00B62491">
        <w:rPr>
          <w:rFonts w:ascii="Calibri" w:hAnsi="Calibri" w:cs="Calibri"/>
          <w:lang w:val="es-ES"/>
        </w:rPr>
        <w:t xml:space="preserve"> electrónica. En este caso, la Zona A.6. del respectivo formulario debe consignar en la sección "otros diagnósticos", lo siguiente: "licencia médica de derivación otorgada por [nombre del organismo administrador o administrador delegado, de la ISAPRE o COMPIN], por aplicación del artículo 77 bis"</w:t>
      </w:r>
      <w:r w:rsidR="00991C57" w:rsidRPr="00B62491">
        <w:rPr>
          <w:rFonts w:ascii="Calibri" w:hAnsi="Calibri" w:cs="Calibri"/>
          <w:lang w:val="es-ES"/>
        </w:rPr>
        <w:t xml:space="preserve">, lo mismo se debe indicar </w:t>
      </w:r>
      <w:r w:rsidR="00AB7A36" w:rsidRPr="00B62491">
        <w:rPr>
          <w:rFonts w:ascii="Calibri" w:hAnsi="Calibri" w:cs="Calibri"/>
          <w:lang w:val="es-ES"/>
        </w:rPr>
        <w:t xml:space="preserve">en la Zona E. </w:t>
      </w:r>
    </w:p>
    <w:p w14:paraId="2EA5CAE5" w14:textId="4A085CE1" w:rsidR="000F1260" w:rsidRPr="00B62491" w:rsidRDefault="006277B7" w:rsidP="000F1260">
      <w:pPr>
        <w:pStyle w:val="Prrafodelista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S</w:t>
      </w:r>
      <w:r w:rsidRPr="00B62491">
        <w:rPr>
          <w:rFonts w:ascii="Calibri" w:hAnsi="Calibri" w:cs="Calibri"/>
          <w:lang w:val="es-ES"/>
        </w:rPr>
        <w:t xml:space="preserve">e instruye </w:t>
      </w:r>
      <w:r w:rsidR="00500958">
        <w:rPr>
          <w:rFonts w:ascii="Calibri" w:hAnsi="Calibri" w:cs="Calibri"/>
          <w:lang w:val="es-ES"/>
        </w:rPr>
        <w:t>que se deberá comunicar a</w:t>
      </w:r>
      <w:r w:rsidRPr="00B62491">
        <w:rPr>
          <w:rFonts w:ascii="Calibri" w:hAnsi="Calibri" w:cs="Calibri"/>
          <w:lang w:val="es-ES"/>
        </w:rPr>
        <w:t xml:space="preserve"> la</w:t>
      </w:r>
      <w:r w:rsidR="00500958">
        <w:rPr>
          <w:rFonts w:ascii="Calibri" w:hAnsi="Calibri" w:cs="Calibri"/>
          <w:lang w:val="es-ES"/>
        </w:rPr>
        <w:t xml:space="preserve"> entidad</w:t>
      </w:r>
      <w:r w:rsidRPr="00B62491">
        <w:rPr>
          <w:rFonts w:ascii="Calibri" w:hAnsi="Calibri" w:cs="Calibri"/>
          <w:lang w:val="es-ES"/>
        </w:rPr>
        <w:t xml:space="preserve"> requirente de cobro</w:t>
      </w:r>
      <w:r>
        <w:rPr>
          <w:rFonts w:ascii="Calibri" w:hAnsi="Calibri" w:cs="Calibri"/>
          <w:lang w:val="es-ES"/>
        </w:rPr>
        <w:t xml:space="preserve">, </w:t>
      </w:r>
      <w:r w:rsidR="00500958">
        <w:rPr>
          <w:rFonts w:ascii="Calibri" w:hAnsi="Calibri" w:cs="Calibri"/>
          <w:lang w:val="es-ES"/>
        </w:rPr>
        <w:t>cuando</w:t>
      </w:r>
      <w:r>
        <w:rPr>
          <w:rFonts w:ascii="Calibri" w:hAnsi="Calibri" w:cs="Calibri"/>
          <w:lang w:val="es-ES"/>
        </w:rPr>
        <w:t xml:space="preserve"> remita la carta</w:t>
      </w:r>
      <w:r w:rsidRPr="00B62491">
        <w:rPr>
          <w:rFonts w:ascii="Calibri" w:hAnsi="Calibri" w:cs="Calibri"/>
          <w:lang w:val="es-ES"/>
        </w:rPr>
        <w:t xml:space="preserve"> de cobranza sin todos los antecedentes señalados en numeral 5, Letra D, Título IV del Libro III del Compendio de Normas del Seguro de la Ley N°16.744</w:t>
      </w:r>
      <w:r>
        <w:rPr>
          <w:rFonts w:ascii="Calibri" w:hAnsi="Calibri" w:cs="Calibri"/>
          <w:lang w:val="es-ES"/>
        </w:rPr>
        <w:t>,</w:t>
      </w:r>
      <w:r w:rsidRPr="00B62491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 xml:space="preserve">que </w:t>
      </w:r>
      <w:r w:rsidRPr="00B62491">
        <w:rPr>
          <w:rFonts w:ascii="Calibri" w:hAnsi="Calibri" w:cs="Calibri"/>
          <w:lang w:val="es-ES"/>
        </w:rPr>
        <w:t>por ello no cursará el pago solicitado, informándole los documentos faltantes</w:t>
      </w:r>
      <w:r>
        <w:rPr>
          <w:rFonts w:ascii="Calibri" w:hAnsi="Calibri" w:cs="Calibri"/>
          <w:lang w:val="es-ES"/>
        </w:rPr>
        <w:t>.</w:t>
      </w:r>
    </w:p>
    <w:p w14:paraId="6B92E6FF" w14:textId="206163A5" w:rsidR="00961B8B" w:rsidRPr="00B62491" w:rsidRDefault="00500958" w:rsidP="000F1260">
      <w:pPr>
        <w:pStyle w:val="Prrafodelista"/>
        <w:spacing w:before="120" w:after="120"/>
        <w:ind w:left="284"/>
        <w:contextualSpacing w:val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Asimismo</w:t>
      </w:r>
      <w:r w:rsidR="00991C57" w:rsidRPr="00B62491">
        <w:rPr>
          <w:rFonts w:ascii="Calibri" w:hAnsi="Calibri" w:cs="Calibri"/>
          <w:lang w:val="es-ES"/>
        </w:rPr>
        <w:t>, s</w:t>
      </w:r>
      <w:r w:rsidR="000F1260" w:rsidRPr="00B62491">
        <w:rPr>
          <w:rFonts w:ascii="Calibri" w:hAnsi="Calibri" w:cs="Calibri"/>
          <w:lang w:val="es-ES"/>
        </w:rPr>
        <w:t xml:space="preserve">e </w:t>
      </w:r>
      <w:r w:rsidR="00961B8B" w:rsidRPr="00B62491">
        <w:rPr>
          <w:rFonts w:ascii="Calibri" w:hAnsi="Calibri" w:cs="Calibri"/>
          <w:lang w:val="es-ES"/>
        </w:rPr>
        <w:t>precisa que el plazo dispuesto en el inciso cuarto del artículo 77 bis</w:t>
      </w:r>
      <w:r w:rsidR="000F1260" w:rsidRPr="00B62491">
        <w:rPr>
          <w:rFonts w:ascii="Calibri" w:hAnsi="Calibri" w:cs="Calibri"/>
          <w:lang w:val="es-ES"/>
        </w:rPr>
        <w:t>,</w:t>
      </w:r>
      <w:r w:rsidR="00961B8B" w:rsidRPr="00B62491">
        <w:rPr>
          <w:rFonts w:ascii="Calibri" w:hAnsi="Calibri" w:cs="Calibri"/>
          <w:lang w:val="es-ES"/>
        </w:rPr>
        <w:t xml:space="preserve"> para </w:t>
      </w:r>
      <w:r w:rsidR="000F1260" w:rsidRPr="00B62491">
        <w:rPr>
          <w:rFonts w:ascii="Calibri" w:hAnsi="Calibri" w:cs="Calibri"/>
          <w:lang w:val="es-ES"/>
        </w:rPr>
        <w:t>realizar</w:t>
      </w:r>
      <w:r w:rsidR="00961B8B" w:rsidRPr="00B62491">
        <w:rPr>
          <w:rFonts w:ascii="Calibri" w:hAnsi="Calibri" w:cs="Calibri"/>
          <w:lang w:val="es-ES"/>
        </w:rPr>
        <w:t xml:space="preserve"> el reembolso, </w:t>
      </w:r>
      <w:r w:rsidR="00991C57" w:rsidRPr="00B62491">
        <w:rPr>
          <w:rFonts w:ascii="Calibri" w:hAnsi="Calibri" w:cs="Calibri"/>
          <w:lang w:val="es-ES"/>
        </w:rPr>
        <w:t xml:space="preserve">se comenzará a contabilizar </w:t>
      </w:r>
      <w:r w:rsidR="00961B8B" w:rsidRPr="00B62491">
        <w:rPr>
          <w:rFonts w:ascii="Calibri" w:hAnsi="Calibri" w:cs="Calibri"/>
          <w:lang w:val="es-ES"/>
        </w:rPr>
        <w:t xml:space="preserve">cuando se </w:t>
      </w:r>
      <w:proofErr w:type="spellStart"/>
      <w:r w:rsidR="00961B8B" w:rsidRPr="00B62491">
        <w:rPr>
          <w:rFonts w:ascii="Calibri" w:hAnsi="Calibri" w:cs="Calibri"/>
          <w:lang w:val="es-ES"/>
        </w:rPr>
        <w:t>recepcione</w:t>
      </w:r>
      <w:proofErr w:type="spellEnd"/>
      <w:r w:rsidR="00961B8B" w:rsidRPr="00B62491">
        <w:rPr>
          <w:rFonts w:ascii="Calibri" w:hAnsi="Calibri" w:cs="Calibri"/>
          <w:lang w:val="es-ES"/>
        </w:rPr>
        <w:t xml:space="preserve"> la carta de cobranza con la totalidad de l</w:t>
      </w:r>
      <w:r w:rsidR="00444156" w:rsidRPr="00B62491">
        <w:rPr>
          <w:rFonts w:ascii="Calibri" w:hAnsi="Calibri" w:cs="Calibri"/>
          <w:lang w:val="es-ES"/>
        </w:rPr>
        <w:t>os antecedentes</w:t>
      </w:r>
      <w:r w:rsidR="00991C57" w:rsidRPr="00B62491">
        <w:rPr>
          <w:rFonts w:ascii="Calibri" w:hAnsi="Calibri" w:cs="Calibri"/>
          <w:lang w:val="es-ES"/>
        </w:rPr>
        <w:t xml:space="preserve"> </w:t>
      </w:r>
      <w:r w:rsidR="006277B7">
        <w:rPr>
          <w:rFonts w:ascii="Calibri" w:hAnsi="Calibri" w:cs="Calibri"/>
          <w:lang w:val="es-ES"/>
        </w:rPr>
        <w:t>ante señalados</w:t>
      </w:r>
      <w:r w:rsidR="00444156" w:rsidRPr="00B62491">
        <w:rPr>
          <w:rFonts w:ascii="Calibri" w:hAnsi="Calibri" w:cs="Calibri"/>
          <w:lang w:val="es-ES"/>
        </w:rPr>
        <w:t>.</w:t>
      </w:r>
    </w:p>
    <w:p w14:paraId="1B69D3D7" w14:textId="69DF5538" w:rsidR="00517D10" w:rsidRPr="00B62491" w:rsidRDefault="000F0734" w:rsidP="00991C57">
      <w:pPr>
        <w:pStyle w:val="Prrafodelista"/>
        <w:numPr>
          <w:ilvl w:val="0"/>
          <w:numId w:val="13"/>
        </w:numPr>
        <w:spacing w:before="120" w:after="120"/>
        <w:ind w:left="284" w:hanging="284"/>
        <w:contextualSpacing w:val="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Por su parte, s</w:t>
      </w:r>
      <w:r w:rsidR="00183DA2" w:rsidRPr="00B62491">
        <w:rPr>
          <w:rFonts w:ascii="Calibri" w:hAnsi="Calibri" w:cs="Calibri"/>
          <w:lang w:val="es-ES"/>
        </w:rPr>
        <w:t xml:space="preserve">e instruye establecer </w:t>
      </w:r>
      <w:r w:rsidR="00183DA2" w:rsidRPr="00B62491">
        <w:rPr>
          <w:rFonts w:ascii="Calibri" w:hAnsi="Calibri" w:cs="Calibri"/>
          <w:lang w:val="es-ES"/>
        </w:rPr>
        <w:t>un canal electrónico</w:t>
      </w:r>
      <w:r w:rsidR="00183DA2" w:rsidRPr="00B62491">
        <w:rPr>
          <w:rFonts w:ascii="Calibri" w:hAnsi="Calibri" w:cs="Calibri"/>
          <w:lang w:val="es-ES"/>
        </w:rPr>
        <w:t xml:space="preserve"> </w:t>
      </w:r>
      <w:r w:rsidR="00991C57" w:rsidRPr="00B62491">
        <w:rPr>
          <w:rFonts w:ascii="Calibri" w:hAnsi="Calibri" w:cs="Calibri"/>
          <w:lang w:val="es-ES"/>
        </w:rPr>
        <w:t>de</w:t>
      </w:r>
      <w:r w:rsidR="00517D10" w:rsidRPr="00B62491">
        <w:rPr>
          <w:rFonts w:ascii="Calibri" w:hAnsi="Calibri" w:cs="Calibri"/>
          <w:lang w:val="es-ES"/>
        </w:rPr>
        <w:t xml:space="preserve"> relacionamiento entre el primer y segundo interviniente en la aplicación del artículo 77 bis, </w:t>
      </w:r>
      <w:r w:rsidR="00183DA2" w:rsidRPr="00B62491">
        <w:rPr>
          <w:rFonts w:ascii="Calibri" w:hAnsi="Calibri" w:cs="Calibri"/>
          <w:lang w:val="es-ES"/>
        </w:rPr>
        <w:t>para las comunicaci</w:t>
      </w:r>
      <w:r>
        <w:rPr>
          <w:rFonts w:ascii="Calibri" w:hAnsi="Calibri" w:cs="Calibri"/>
          <w:lang w:val="es-ES"/>
        </w:rPr>
        <w:t>o</w:t>
      </w:r>
      <w:r w:rsidR="00183DA2" w:rsidRPr="00B62491">
        <w:rPr>
          <w:rFonts w:ascii="Calibri" w:hAnsi="Calibri" w:cs="Calibri"/>
          <w:lang w:val="es-ES"/>
        </w:rPr>
        <w:t>n</w:t>
      </w:r>
      <w:r>
        <w:rPr>
          <w:rFonts w:ascii="Calibri" w:hAnsi="Calibri" w:cs="Calibri"/>
          <w:lang w:val="es-ES"/>
        </w:rPr>
        <w:t xml:space="preserve">es </w:t>
      </w:r>
      <w:r w:rsidR="00183DA2" w:rsidRPr="00B62491">
        <w:rPr>
          <w:rFonts w:ascii="Calibri" w:hAnsi="Calibri" w:cs="Calibri"/>
          <w:lang w:val="es-ES"/>
        </w:rPr>
        <w:t>y notificaciones</w:t>
      </w:r>
      <w:r w:rsidR="00651795" w:rsidRPr="00B62491">
        <w:rPr>
          <w:rFonts w:ascii="Calibri" w:hAnsi="Calibri" w:cs="Calibri"/>
          <w:lang w:val="es-ES"/>
        </w:rPr>
        <w:t xml:space="preserve"> </w:t>
      </w:r>
      <w:r w:rsidR="00183DA2" w:rsidRPr="00B62491">
        <w:rPr>
          <w:rFonts w:ascii="Calibri" w:hAnsi="Calibri" w:cs="Calibri"/>
          <w:lang w:val="es-ES"/>
        </w:rPr>
        <w:t>(notificación de calificación, remisión de</w:t>
      </w:r>
      <w:r w:rsidR="00517D10" w:rsidRPr="00B62491">
        <w:rPr>
          <w:rFonts w:ascii="Calibri" w:hAnsi="Calibri" w:cs="Calibri"/>
          <w:lang w:val="es-ES"/>
        </w:rPr>
        <w:t xml:space="preserve"> las cartas de cobranza</w:t>
      </w:r>
      <w:r w:rsidR="00183DA2" w:rsidRPr="00B62491">
        <w:rPr>
          <w:rFonts w:ascii="Calibri" w:hAnsi="Calibri" w:cs="Calibri"/>
          <w:lang w:val="es-ES"/>
        </w:rPr>
        <w:t>,</w:t>
      </w:r>
      <w:r w:rsidR="00517D10" w:rsidRPr="00B62491">
        <w:rPr>
          <w:rFonts w:ascii="Calibri" w:hAnsi="Calibri" w:cs="Calibri"/>
          <w:lang w:val="es-ES"/>
        </w:rPr>
        <w:t xml:space="preserve"> la transferencia de antecedentes médicos del trabajador </w:t>
      </w:r>
      <w:r w:rsidR="00B62491">
        <w:rPr>
          <w:rFonts w:ascii="Calibri" w:hAnsi="Calibri" w:cs="Calibri"/>
          <w:lang w:val="es-ES"/>
        </w:rPr>
        <w:t>-</w:t>
      </w:r>
      <w:r w:rsidR="00517D10" w:rsidRPr="00B62491">
        <w:rPr>
          <w:rFonts w:ascii="Calibri" w:hAnsi="Calibri" w:cs="Calibri"/>
          <w:lang w:val="es-ES"/>
        </w:rPr>
        <w:t>cuando este lo autorice, la entrega y/o devolución de antecedentes en cobranza</w:t>
      </w:r>
      <w:r w:rsidR="00183DA2" w:rsidRPr="00B62491">
        <w:rPr>
          <w:rFonts w:ascii="Calibri" w:hAnsi="Calibri" w:cs="Calibri"/>
          <w:lang w:val="es-ES"/>
        </w:rPr>
        <w:t xml:space="preserve">), </w:t>
      </w:r>
      <w:bookmarkStart w:id="0" w:name="_Hlk106287438"/>
      <w:r w:rsidR="00183DA2" w:rsidRPr="00B62491">
        <w:rPr>
          <w:rFonts w:ascii="Calibri" w:hAnsi="Calibri" w:cs="Calibri"/>
          <w:lang w:val="es-ES"/>
        </w:rPr>
        <w:t>que</w:t>
      </w:r>
      <w:r w:rsidR="00651795" w:rsidRPr="00B62491">
        <w:rPr>
          <w:rFonts w:ascii="Calibri" w:hAnsi="Calibri" w:cs="Calibri"/>
          <w:lang w:val="es-ES"/>
        </w:rPr>
        <w:t xml:space="preserve"> </w:t>
      </w:r>
      <w:r w:rsidR="00183DA2" w:rsidRPr="00B62491">
        <w:rPr>
          <w:rFonts w:ascii="Calibri" w:hAnsi="Calibri" w:cs="Calibri"/>
          <w:lang w:val="es-ES"/>
        </w:rPr>
        <w:t xml:space="preserve">también </w:t>
      </w:r>
      <w:r>
        <w:rPr>
          <w:rFonts w:ascii="Calibri" w:hAnsi="Calibri" w:cs="Calibri"/>
          <w:lang w:val="es-ES"/>
        </w:rPr>
        <w:t>sea</w:t>
      </w:r>
      <w:r w:rsidR="00183DA2" w:rsidRPr="00B62491">
        <w:rPr>
          <w:rFonts w:ascii="Calibri" w:hAnsi="Calibri" w:cs="Calibri"/>
          <w:lang w:val="es-ES"/>
        </w:rPr>
        <w:t xml:space="preserve"> utilizado para</w:t>
      </w:r>
      <w:r w:rsidR="00651795" w:rsidRPr="00B62491">
        <w:rPr>
          <w:rFonts w:ascii="Calibri" w:hAnsi="Calibri" w:cs="Calibri"/>
          <w:lang w:val="es-ES"/>
        </w:rPr>
        <w:t xml:space="preserve"> </w:t>
      </w:r>
      <w:r w:rsidR="00B62491">
        <w:rPr>
          <w:rFonts w:ascii="Calibri" w:hAnsi="Calibri" w:cs="Calibri"/>
          <w:lang w:val="es-ES"/>
        </w:rPr>
        <w:t>las solicitudes de reembolso de</w:t>
      </w:r>
      <w:r w:rsidR="00183DA2" w:rsidRPr="00B62491">
        <w:rPr>
          <w:rFonts w:ascii="Calibri" w:hAnsi="Calibri" w:cs="Calibri"/>
          <w:lang w:val="es-ES"/>
        </w:rPr>
        <w:t xml:space="preserve"> aquellas situaciones no 77 bis</w:t>
      </w:r>
      <w:r w:rsidR="00651795" w:rsidRPr="00B62491">
        <w:rPr>
          <w:rFonts w:ascii="Calibri" w:hAnsi="Calibri" w:cs="Calibri"/>
          <w:lang w:val="es-ES"/>
        </w:rPr>
        <w:t>.</w:t>
      </w:r>
    </w:p>
    <w:bookmarkEnd w:id="0"/>
    <w:p w14:paraId="45F08D56" w14:textId="34F41DCD" w:rsidR="00517D10" w:rsidRPr="00B62491" w:rsidRDefault="00651795" w:rsidP="00651795">
      <w:pPr>
        <w:pStyle w:val="Prrafodelista"/>
        <w:spacing w:before="120" w:after="120"/>
        <w:ind w:left="284"/>
        <w:contextualSpacing w:val="0"/>
        <w:jc w:val="both"/>
        <w:rPr>
          <w:rFonts w:ascii="Calibri" w:hAnsi="Calibri" w:cs="Calibri"/>
          <w:lang w:val="es-ES"/>
        </w:rPr>
      </w:pPr>
      <w:r w:rsidRPr="00B62491">
        <w:rPr>
          <w:rFonts w:ascii="Calibri" w:hAnsi="Calibri" w:cs="Calibri"/>
          <w:lang w:val="es-ES"/>
        </w:rPr>
        <w:t xml:space="preserve">Este canal de comunicaciones </w:t>
      </w:r>
      <w:r w:rsidR="00517D10" w:rsidRPr="00B62491">
        <w:rPr>
          <w:rFonts w:ascii="Calibri" w:hAnsi="Calibri" w:cs="Calibri"/>
          <w:lang w:val="es-ES"/>
        </w:rPr>
        <w:t>deberá constar en un protocolo definido y aceptado por cada entidad, debiendo ser informado a esta Superintendencia antes del 31 de diciembre del año en curso.</w:t>
      </w:r>
    </w:p>
    <w:p w14:paraId="617E9FCD" w14:textId="77777777" w:rsidR="00651795" w:rsidRDefault="00651795" w:rsidP="00217C65">
      <w:pPr>
        <w:jc w:val="both"/>
        <w:rPr>
          <w:lang w:val="es-ES"/>
        </w:rPr>
      </w:pPr>
    </w:p>
    <w:p w14:paraId="0A56C139" w14:textId="14281A1E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 w:rsidSect="00991C57">
          <w:headerReference w:type="default" r:id="rId8"/>
          <w:footerReference w:type="default" r:id="rId9"/>
          <w:pgSz w:w="12240" w:h="18720" w:code="164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4111"/>
        <w:gridCol w:w="2977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2B3B6407" w:rsidR="00F455ED" w:rsidRPr="00651795" w:rsidRDefault="005A4B2D" w:rsidP="005A4B2D">
            <w:pPr>
              <w:spacing w:after="1" w:line="258" w:lineRule="auto"/>
              <w:ind w:left="10" w:right="54" w:hanging="1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s-CL"/>
              </w:rPr>
            </w:pPr>
            <w:bookmarkStart w:id="1" w:name="_Hlk105421278"/>
            <w:r w:rsidRPr="005A4B2D">
              <w:rPr>
                <w:rFonts w:ascii="Calibri" w:eastAsia="Calibri" w:hAnsi="Calibri" w:cs="Calibri"/>
                <w:b/>
                <w:color w:val="000000"/>
                <w:lang w:eastAsia="es-CL"/>
              </w:rPr>
              <w:lastRenderedPageBreak/>
              <w:t>RECHAZO DE LICENCIA MÉDICA O REPOSO MÉDICO POR CALIFICACIÓN DE ORIGEN COMÚN O LABORAL, APLICACIÓN DEL ARTÍCULO 77 BIS DE LA LEY N°16.744</w:t>
            </w:r>
            <w:bookmarkEnd w:id="1"/>
          </w:p>
        </w:tc>
      </w:tr>
      <w:tr w:rsidR="00F455ED" w14:paraId="29B45B0C" w14:textId="77777777" w:rsidTr="006277B7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843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</w:t>
            </w:r>
            <w:proofErr w:type="gramStart"/>
            <w:r>
              <w:rPr>
                <w:color w:val="FFFFFF" w:themeColor="background1"/>
              </w:rPr>
              <w:t xml:space="preserve">O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</w:t>
            </w:r>
            <w:proofErr w:type="gramStart"/>
            <w:r>
              <w:rPr>
                <w:color w:val="FFFFFF" w:themeColor="background1"/>
              </w:rPr>
              <w:t xml:space="preserve">COMPENDIO, </w:t>
            </w:r>
            <w:r w:rsidRPr="001854AB">
              <w:rPr>
                <w:color w:val="FFFFFF" w:themeColor="background1"/>
              </w:rPr>
              <w:t xml:space="preserve"> OBJETO</w:t>
            </w:r>
            <w:proofErr w:type="gramEnd"/>
            <w:r w:rsidRPr="001854AB">
              <w:rPr>
                <w:color w:val="FFFFFF" w:themeColor="background1"/>
              </w:rPr>
              <w:t xml:space="preserve"> DEL COMENTARIO</w:t>
            </w:r>
          </w:p>
        </w:tc>
        <w:tc>
          <w:tcPr>
            <w:tcW w:w="4111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977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277B7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843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701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4111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977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277B7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843" w:type="dxa"/>
          </w:tcPr>
          <w:p w14:paraId="2904375B" w14:textId="77777777" w:rsidR="00F455ED" w:rsidRDefault="00F455ED" w:rsidP="006B791A"/>
        </w:tc>
        <w:tc>
          <w:tcPr>
            <w:tcW w:w="1701" w:type="dxa"/>
          </w:tcPr>
          <w:p w14:paraId="21CC6EC2" w14:textId="77777777" w:rsidR="00F455ED" w:rsidRDefault="00F455ED" w:rsidP="006B791A"/>
        </w:tc>
        <w:tc>
          <w:tcPr>
            <w:tcW w:w="4111" w:type="dxa"/>
          </w:tcPr>
          <w:p w14:paraId="3AC1D401" w14:textId="77777777" w:rsidR="00F455ED" w:rsidRDefault="00F455ED" w:rsidP="006B791A"/>
        </w:tc>
        <w:tc>
          <w:tcPr>
            <w:tcW w:w="2977" w:type="dxa"/>
          </w:tcPr>
          <w:p w14:paraId="38EF07CD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</w:tbl>
    <w:p w14:paraId="0B18AED0" w14:textId="0F5024ED" w:rsidR="00F455ED" w:rsidRDefault="00F455ED" w:rsidP="000F0734">
      <w:pPr>
        <w:spacing w:before="120" w:after="120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1D14" w14:textId="77777777" w:rsidR="0082741A" w:rsidRDefault="0082741A" w:rsidP="00807ED0">
      <w:pPr>
        <w:spacing w:after="0" w:line="240" w:lineRule="auto"/>
      </w:pPr>
      <w:r>
        <w:separator/>
      </w:r>
    </w:p>
  </w:endnote>
  <w:endnote w:type="continuationSeparator" w:id="0">
    <w:p w14:paraId="313D67F6" w14:textId="77777777" w:rsidR="0082741A" w:rsidRDefault="0082741A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988E29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156" w:rsidRPr="00444156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AB6E" w14:textId="77777777" w:rsidR="0082741A" w:rsidRDefault="0082741A" w:rsidP="00807ED0">
      <w:pPr>
        <w:spacing w:after="0" w:line="240" w:lineRule="auto"/>
      </w:pPr>
      <w:r>
        <w:separator/>
      </w:r>
    </w:p>
  </w:footnote>
  <w:footnote w:type="continuationSeparator" w:id="0">
    <w:p w14:paraId="265C0E97" w14:textId="77777777" w:rsidR="0082741A" w:rsidRDefault="0082741A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27D"/>
    <w:multiLevelType w:val="multilevel"/>
    <w:tmpl w:val="4014CAA2"/>
    <w:lvl w:ilvl="0">
      <w:start w:val="1"/>
      <w:numFmt w:val="upperRoman"/>
      <w:lvlText w:val="%1."/>
      <w:lvlJc w:val="left"/>
      <w:pPr>
        <w:ind w:left="413" w:hanging="72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773" w:hanging="360"/>
      </w:pPr>
    </w:lvl>
    <w:lvl w:ilvl="2">
      <w:start w:val="1"/>
      <w:numFmt w:val="lowerRoman"/>
      <w:lvlText w:val="%3."/>
      <w:lvlJc w:val="right"/>
      <w:pPr>
        <w:ind w:left="1493" w:hanging="180"/>
      </w:pPr>
    </w:lvl>
    <w:lvl w:ilvl="3">
      <w:start w:val="1"/>
      <w:numFmt w:val="decimal"/>
      <w:lvlText w:val="%4."/>
      <w:lvlJc w:val="left"/>
      <w:pPr>
        <w:ind w:left="2213" w:hanging="360"/>
      </w:pPr>
    </w:lvl>
    <w:lvl w:ilvl="4">
      <w:start w:val="1"/>
      <w:numFmt w:val="lowerLetter"/>
      <w:lvlText w:val="%5."/>
      <w:lvlJc w:val="left"/>
      <w:pPr>
        <w:ind w:left="2933" w:hanging="360"/>
      </w:pPr>
    </w:lvl>
    <w:lvl w:ilvl="5">
      <w:start w:val="1"/>
      <w:numFmt w:val="lowerRoman"/>
      <w:lvlText w:val="%6."/>
      <w:lvlJc w:val="right"/>
      <w:pPr>
        <w:ind w:left="3653" w:hanging="180"/>
      </w:pPr>
    </w:lvl>
    <w:lvl w:ilvl="6">
      <w:start w:val="1"/>
      <w:numFmt w:val="decimal"/>
      <w:lvlText w:val="%7."/>
      <w:lvlJc w:val="left"/>
      <w:pPr>
        <w:ind w:left="4373" w:hanging="360"/>
      </w:pPr>
    </w:lvl>
    <w:lvl w:ilvl="7">
      <w:start w:val="1"/>
      <w:numFmt w:val="lowerLetter"/>
      <w:lvlText w:val="%8."/>
      <w:lvlJc w:val="left"/>
      <w:pPr>
        <w:ind w:left="5093" w:hanging="360"/>
      </w:pPr>
    </w:lvl>
    <w:lvl w:ilvl="8">
      <w:start w:val="1"/>
      <w:numFmt w:val="lowerRoman"/>
      <w:lvlText w:val="%9."/>
      <w:lvlJc w:val="right"/>
      <w:pPr>
        <w:ind w:left="5813" w:hanging="180"/>
      </w:pPr>
    </w:lvl>
  </w:abstractNum>
  <w:abstractNum w:abstractNumId="4" w15:restartNumberingAfterBreak="0">
    <w:nsid w:val="2D0F5D8B"/>
    <w:multiLevelType w:val="hybridMultilevel"/>
    <w:tmpl w:val="803276C0"/>
    <w:lvl w:ilvl="0" w:tplc="D10EB6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FEB"/>
    <w:multiLevelType w:val="hybridMultilevel"/>
    <w:tmpl w:val="70306DC8"/>
    <w:lvl w:ilvl="0" w:tplc="AA3AE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58AE"/>
    <w:multiLevelType w:val="multilevel"/>
    <w:tmpl w:val="9BEC1F50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731E1"/>
    <w:multiLevelType w:val="hybridMultilevel"/>
    <w:tmpl w:val="5DEA5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0801">
    <w:abstractNumId w:val="2"/>
  </w:num>
  <w:num w:numId="2" w16cid:durableId="453909523">
    <w:abstractNumId w:val="11"/>
  </w:num>
  <w:num w:numId="3" w16cid:durableId="887302894">
    <w:abstractNumId w:val="10"/>
  </w:num>
  <w:num w:numId="4" w16cid:durableId="828835912">
    <w:abstractNumId w:val="5"/>
  </w:num>
  <w:num w:numId="5" w16cid:durableId="1642884736">
    <w:abstractNumId w:val="0"/>
  </w:num>
  <w:num w:numId="6" w16cid:durableId="1374770820">
    <w:abstractNumId w:val="6"/>
  </w:num>
  <w:num w:numId="7" w16cid:durableId="1859812631">
    <w:abstractNumId w:val="7"/>
  </w:num>
  <w:num w:numId="8" w16cid:durableId="1099712172">
    <w:abstractNumId w:val="1"/>
  </w:num>
  <w:num w:numId="9" w16cid:durableId="1711490360">
    <w:abstractNumId w:val="12"/>
  </w:num>
  <w:num w:numId="10" w16cid:durableId="788280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2442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6222506">
    <w:abstractNumId w:val="4"/>
  </w:num>
  <w:num w:numId="13" w16cid:durableId="372074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9C"/>
    <w:rsid w:val="00004BFE"/>
    <w:rsid w:val="00021E22"/>
    <w:rsid w:val="00084638"/>
    <w:rsid w:val="00085F6E"/>
    <w:rsid w:val="00086958"/>
    <w:rsid w:val="000F0734"/>
    <w:rsid w:val="000F1260"/>
    <w:rsid w:val="00104670"/>
    <w:rsid w:val="00107E1D"/>
    <w:rsid w:val="00124062"/>
    <w:rsid w:val="00131886"/>
    <w:rsid w:val="00160560"/>
    <w:rsid w:val="00183CC0"/>
    <w:rsid w:val="00183DA2"/>
    <w:rsid w:val="001910DD"/>
    <w:rsid w:val="00197805"/>
    <w:rsid w:val="00207A03"/>
    <w:rsid w:val="00217C65"/>
    <w:rsid w:val="00235433"/>
    <w:rsid w:val="002354A9"/>
    <w:rsid w:val="00273D5B"/>
    <w:rsid w:val="00286277"/>
    <w:rsid w:val="00287C5B"/>
    <w:rsid w:val="002A0018"/>
    <w:rsid w:val="002A69F4"/>
    <w:rsid w:val="002A71C9"/>
    <w:rsid w:val="002E1694"/>
    <w:rsid w:val="002F3EE4"/>
    <w:rsid w:val="002F5BEA"/>
    <w:rsid w:val="003176E9"/>
    <w:rsid w:val="003510DD"/>
    <w:rsid w:val="00355E92"/>
    <w:rsid w:val="00362173"/>
    <w:rsid w:val="00397EB0"/>
    <w:rsid w:val="003C5C11"/>
    <w:rsid w:val="003D236F"/>
    <w:rsid w:val="003D278F"/>
    <w:rsid w:val="003D3075"/>
    <w:rsid w:val="004236FE"/>
    <w:rsid w:val="00444156"/>
    <w:rsid w:val="00445920"/>
    <w:rsid w:val="004A175F"/>
    <w:rsid w:val="004A28FE"/>
    <w:rsid w:val="004B4676"/>
    <w:rsid w:val="004B68BB"/>
    <w:rsid w:val="004B6D96"/>
    <w:rsid w:val="004C514E"/>
    <w:rsid w:val="004D3971"/>
    <w:rsid w:val="004E5A19"/>
    <w:rsid w:val="004F38DF"/>
    <w:rsid w:val="00500958"/>
    <w:rsid w:val="005133CE"/>
    <w:rsid w:val="00517D10"/>
    <w:rsid w:val="0052230C"/>
    <w:rsid w:val="005A4B2D"/>
    <w:rsid w:val="005D6240"/>
    <w:rsid w:val="006277B7"/>
    <w:rsid w:val="0063142E"/>
    <w:rsid w:val="0063685C"/>
    <w:rsid w:val="0064445D"/>
    <w:rsid w:val="00651795"/>
    <w:rsid w:val="0066325F"/>
    <w:rsid w:val="00664140"/>
    <w:rsid w:val="006657AC"/>
    <w:rsid w:val="006662EB"/>
    <w:rsid w:val="006808EF"/>
    <w:rsid w:val="006A1900"/>
    <w:rsid w:val="006C023C"/>
    <w:rsid w:val="006C125F"/>
    <w:rsid w:val="006F330D"/>
    <w:rsid w:val="006F53AC"/>
    <w:rsid w:val="007275F8"/>
    <w:rsid w:val="0077413C"/>
    <w:rsid w:val="007B0E0C"/>
    <w:rsid w:val="007B2F73"/>
    <w:rsid w:val="007E7BC1"/>
    <w:rsid w:val="00807ED0"/>
    <w:rsid w:val="0082741A"/>
    <w:rsid w:val="00875674"/>
    <w:rsid w:val="008A503B"/>
    <w:rsid w:val="008C4414"/>
    <w:rsid w:val="008D1065"/>
    <w:rsid w:val="008D7ABD"/>
    <w:rsid w:val="008F10DB"/>
    <w:rsid w:val="00917EDB"/>
    <w:rsid w:val="0092657C"/>
    <w:rsid w:val="0094595C"/>
    <w:rsid w:val="00961B8B"/>
    <w:rsid w:val="00983360"/>
    <w:rsid w:val="00983BA0"/>
    <w:rsid w:val="00990B99"/>
    <w:rsid w:val="00991C57"/>
    <w:rsid w:val="009C2361"/>
    <w:rsid w:val="009E3F44"/>
    <w:rsid w:val="009E5760"/>
    <w:rsid w:val="00A071EE"/>
    <w:rsid w:val="00A237EC"/>
    <w:rsid w:val="00A36E4E"/>
    <w:rsid w:val="00A45B9C"/>
    <w:rsid w:val="00A47CFA"/>
    <w:rsid w:val="00A83763"/>
    <w:rsid w:val="00AB7A36"/>
    <w:rsid w:val="00AC2A04"/>
    <w:rsid w:val="00AD48C1"/>
    <w:rsid w:val="00AF04D7"/>
    <w:rsid w:val="00B317D3"/>
    <w:rsid w:val="00B35DB0"/>
    <w:rsid w:val="00B62491"/>
    <w:rsid w:val="00B64BF5"/>
    <w:rsid w:val="00B84A94"/>
    <w:rsid w:val="00BC2129"/>
    <w:rsid w:val="00BD3F1C"/>
    <w:rsid w:val="00C030F0"/>
    <w:rsid w:val="00C238D3"/>
    <w:rsid w:val="00C50D53"/>
    <w:rsid w:val="00C56BAB"/>
    <w:rsid w:val="00D0342E"/>
    <w:rsid w:val="00D426DE"/>
    <w:rsid w:val="00D74401"/>
    <w:rsid w:val="00D8170A"/>
    <w:rsid w:val="00D81FA1"/>
    <w:rsid w:val="00D9114B"/>
    <w:rsid w:val="00D9613F"/>
    <w:rsid w:val="00DA5391"/>
    <w:rsid w:val="00DB123A"/>
    <w:rsid w:val="00DB1DEF"/>
    <w:rsid w:val="00DC0CBD"/>
    <w:rsid w:val="00DD7884"/>
    <w:rsid w:val="00E11150"/>
    <w:rsid w:val="00E328A2"/>
    <w:rsid w:val="00E358D2"/>
    <w:rsid w:val="00F353C0"/>
    <w:rsid w:val="00F40692"/>
    <w:rsid w:val="00F4243D"/>
    <w:rsid w:val="00F44452"/>
    <w:rsid w:val="00F44745"/>
    <w:rsid w:val="00F455ED"/>
    <w:rsid w:val="00F77C3A"/>
    <w:rsid w:val="00F85D76"/>
    <w:rsid w:val="00FA26DE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0F4B41B9-E5E4-49D7-88F6-84EAB31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7C5B"/>
    <w:pPr>
      <w:spacing w:line="240" w:lineRule="auto"/>
    </w:pPr>
    <w:rPr>
      <w:rFonts w:ascii="Calibri" w:eastAsia="Calibri" w:hAnsi="Calibri" w:cs="Calibri"/>
      <w:sz w:val="20"/>
      <w:szCs w:val="20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7C5B"/>
    <w:rPr>
      <w:rFonts w:ascii="Calibri" w:eastAsia="Calibri" w:hAnsi="Calibri" w:cs="Calibri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287C5B"/>
    <w:rPr>
      <w:sz w:val="16"/>
      <w:szCs w:val="16"/>
    </w:rPr>
  </w:style>
  <w:style w:type="paragraph" w:styleId="Revisin">
    <w:name w:val="Revision"/>
    <w:hidden/>
    <w:uiPriority w:val="99"/>
    <w:semiHidden/>
    <w:rsid w:val="004B4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Depto Regulación</cp:lastModifiedBy>
  <cp:revision>4</cp:revision>
  <cp:lastPrinted>2022-06-16T20:15:00Z</cp:lastPrinted>
  <dcterms:created xsi:type="dcterms:W3CDTF">2022-06-16T20:15:00Z</dcterms:created>
  <dcterms:modified xsi:type="dcterms:W3CDTF">2022-06-16T22:55:00Z</dcterms:modified>
</cp:coreProperties>
</file>