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8F928" w14:textId="77777777" w:rsidR="00A45B9C" w:rsidRPr="0092657C" w:rsidRDefault="00A45B9C" w:rsidP="00A45B9C">
      <w:pPr>
        <w:jc w:val="center"/>
        <w:rPr>
          <w:b/>
          <w:bCs/>
        </w:rPr>
      </w:pPr>
      <w:bookmarkStart w:id="0" w:name="_GoBack"/>
      <w:bookmarkEnd w:id="0"/>
      <w:r w:rsidRPr="0092657C">
        <w:rPr>
          <w:b/>
          <w:bCs/>
        </w:rPr>
        <w:t>MINUTA</w:t>
      </w:r>
    </w:p>
    <w:p w14:paraId="46FB22A9" w14:textId="77777777" w:rsidR="00124062" w:rsidRDefault="00A45B9C" w:rsidP="00A45B9C">
      <w:pPr>
        <w:jc w:val="center"/>
        <w:rPr>
          <w:b/>
          <w:bCs/>
        </w:rPr>
      </w:pPr>
      <w:r w:rsidRPr="0092657C">
        <w:rPr>
          <w:b/>
          <w:bCs/>
        </w:rPr>
        <w:t xml:space="preserve">PROYECTO DE CIRCULAR </w:t>
      </w:r>
      <w:r w:rsidR="00D426DE">
        <w:rPr>
          <w:b/>
          <w:bCs/>
        </w:rPr>
        <w:t xml:space="preserve">QUE COMPLEMENTA LAS </w:t>
      </w:r>
      <w:r w:rsidR="00183CC0">
        <w:rPr>
          <w:b/>
          <w:bCs/>
        </w:rPr>
        <w:t xml:space="preserve">INSTRUCCIONES </w:t>
      </w:r>
      <w:r w:rsidR="00124062">
        <w:rPr>
          <w:b/>
          <w:bCs/>
        </w:rPr>
        <w:t xml:space="preserve">SOBRE RECARGO DE LA COTIZACIÓN ADICIONAL DIFERENCIADA Y PRESCRIPCIÓN DE MEDIDAS </w:t>
      </w:r>
    </w:p>
    <w:p w14:paraId="0E7D8464" w14:textId="77777777" w:rsidR="00BC2129" w:rsidRDefault="00BC2129" w:rsidP="00A36E4E">
      <w:pPr>
        <w:spacing w:before="120" w:after="120"/>
        <w:jc w:val="both"/>
        <w:rPr>
          <w:b/>
          <w:bCs/>
        </w:rPr>
      </w:pPr>
    </w:p>
    <w:p w14:paraId="5FAD1F60" w14:textId="57A89AE8" w:rsidR="00BC2129" w:rsidRDefault="00BC2129" w:rsidP="00A36E4E">
      <w:pPr>
        <w:spacing w:before="120" w:after="120"/>
        <w:jc w:val="both"/>
      </w:pPr>
      <w:r>
        <w:t xml:space="preserve">El presente proyecto de circular modifica los Libros II, III y IV del Compendio de Normas del Seguro </w:t>
      </w:r>
      <w:r w:rsidR="00107E1D">
        <w:t xml:space="preserve">Social </w:t>
      </w:r>
      <w:r>
        <w:t xml:space="preserve">de Accidentes del Trabajo y Enfermedades Profesionales, con el fin de complementar instrucciones relativas a los procedimientos de recargo de la tasa de cotización adicional diferenciada y prescripción de medidas, efectuados por los organismos administradores del Seguro de la Ley N°16.744. </w:t>
      </w:r>
    </w:p>
    <w:p w14:paraId="255CA9CA" w14:textId="1B95DF88" w:rsidR="00124062" w:rsidRDefault="00A071EE" w:rsidP="00A36E4E">
      <w:pPr>
        <w:spacing w:before="120" w:after="120"/>
        <w:jc w:val="both"/>
      </w:pPr>
      <w:r>
        <w:t>L</w:t>
      </w:r>
      <w:r w:rsidR="00D426DE">
        <w:t xml:space="preserve">as </w:t>
      </w:r>
      <w:r w:rsidR="007B0E0C">
        <w:t xml:space="preserve">materias que aborda este </w:t>
      </w:r>
      <w:r w:rsidR="00124062">
        <w:t xml:space="preserve">proyecto </w:t>
      </w:r>
      <w:r w:rsidR="007B0E0C">
        <w:t xml:space="preserve">de circular, </w:t>
      </w:r>
      <w:r>
        <w:t>son</w:t>
      </w:r>
      <w:r w:rsidR="00124062">
        <w:t>:</w:t>
      </w:r>
    </w:p>
    <w:p w14:paraId="6EEA62E0" w14:textId="77777777" w:rsidR="00397EB0" w:rsidRDefault="00183CC0" w:rsidP="00160560">
      <w:pPr>
        <w:pStyle w:val="Prrafodelista"/>
        <w:numPr>
          <w:ilvl w:val="0"/>
          <w:numId w:val="5"/>
        </w:numPr>
        <w:spacing w:before="120" w:after="120"/>
        <w:contextualSpacing w:val="0"/>
        <w:jc w:val="both"/>
      </w:pPr>
      <w:r>
        <w:t xml:space="preserve">En primer término, se modifica </w:t>
      </w:r>
      <w:r w:rsidR="00B64BF5">
        <w:t xml:space="preserve">el Libro II, en </w:t>
      </w:r>
      <w:r>
        <w:t xml:space="preserve">lo relativo al procedimiento de aplicación del recargo </w:t>
      </w:r>
      <w:r w:rsidR="00A83763">
        <w:t xml:space="preserve">del artículo 15 del D.S. N°67, de 1999, del Ministerio del Trabajo y Previsión Social, </w:t>
      </w:r>
      <w:r w:rsidR="00A83763" w:rsidRPr="00A83763">
        <w:t>con el objeti</w:t>
      </w:r>
      <w:r w:rsidR="00A83763">
        <w:t>vo de aclarar que las resoluciones que lo impone</w:t>
      </w:r>
      <w:r w:rsidR="00397EB0">
        <w:t>n</w:t>
      </w:r>
      <w:r w:rsidR="00A83763">
        <w:t>, modifican o cesan</w:t>
      </w:r>
      <w:r w:rsidR="00397EB0">
        <w:t>,</w:t>
      </w:r>
      <w:r w:rsidR="00A83763">
        <w:t xml:space="preserve"> son distintas </w:t>
      </w:r>
      <w:r w:rsidR="00397EB0">
        <w:t>e independientes de aqué</w:t>
      </w:r>
      <w:r w:rsidR="00A83763">
        <w:t xml:space="preserve">llas que fijan la tasa de cotización adicional diferenciada.  </w:t>
      </w:r>
    </w:p>
    <w:p w14:paraId="30E029EE" w14:textId="26970E62" w:rsidR="00A83763" w:rsidRDefault="00A83763" w:rsidP="004C514E">
      <w:pPr>
        <w:pStyle w:val="Prrafodelista"/>
        <w:numPr>
          <w:ilvl w:val="0"/>
          <w:numId w:val="5"/>
        </w:numPr>
        <w:spacing w:before="120" w:after="120"/>
        <w:contextualSpacing w:val="0"/>
        <w:jc w:val="both"/>
      </w:pPr>
      <w:r>
        <w:t xml:space="preserve">De igual modo, se complementa dicho procedimiento enfatizando que </w:t>
      </w:r>
      <w:r w:rsidR="00D426DE">
        <w:t>al momento de imponerse el recargo</w:t>
      </w:r>
      <w:r w:rsidR="00D74401">
        <w:t xml:space="preserve"> se debe </w:t>
      </w:r>
      <w:r w:rsidR="00D426DE">
        <w:t xml:space="preserve">analizar </w:t>
      </w:r>
      <w:r>
        <w:t xml:space="preserve">si </w:t>
      </w:r>
      <w:r w:rsidR="00D426DE">
        <w:t xml:space="preserve">de acuerdo </w:t>
      </w:r>
      <w:r w:rsidR="004C514E">
        <w:t>con</w:t>
      </w:r>
      <w:r w:rsidR="00D426DE">
        <w:t xml:space="preserve"> </w:t>
      </w:r>
      <w:r w:rsidR="00D74401">
        <w:t>la tasa cotización adicional diferenciada vigente</w:t>
      </w:r>
      <w:r w:rsidR="004C514E">
        <w:t xml:space="preserve"> a ese entonces</w:t>
      </w:r>
      <w:r w:rsidR="00D74401">
        <w:t xml:space="preserve">, </w:t>
      </w:r>
      <w:r w:rsidR="00397EB0">
        <w:t>es necesario rebajar</w:t>
      </w:r>
      <w:r w:rsidR="00D426DE">
        <w:t>lo</w:t>
      </w:r>
      <w:r w:rsidR="00397EB0">
        <w:t xml:space="preserve"> o reducir</w:t>
      </w:r>
      <w:r w:rsidR="00D426DE">
        <w:t>lo</w:t>
      </w:r>
      <w:r w:rsidR="00D74401">
        <w:t xml:space="preserve"> a valor cero, por </w:t>
      </w:r>
      <w:r w:rsidR="004C514E">
        <w:t xml:space="preserve">aplicación </w:t>
      </w:r>
      <w:r w:rsidR="00D74401">
        <w:t>del tope de 6,8%</w:t>
      </w:r>
      <w:r w:rsidR="004C514E">
        <w:t>,</w:t>
      </w:r>
      <w:r w:rsidR="00D74401">
        <w:t xml:space="preserve"> previsto en el artículo 17 del citado D.S.</w:t>
      </w:r>
      <w:r w:rsidR="00397EB0">
        <w:t xml:space="preserve"> </w:t>
      </w:r>
      <w:r w:rsidR="00D426DE">
        <w:t>A</w:t>
      </w:r>
      <w:r w:rsidR="00397EB0">
        <w:t>demás</w:t>
      </w:r>
      <w:r w:rsidR="00D426DE">
        <w:t>, se instruye repetir d</w:t>
      </w:r>
      <w:r w:rsidR="00397EB0">
        <w:t xml:space="preserve">icha </w:t>
      </w:r>
      <w:r w:rsidR="00D74401">
        <w:t xml:space="preserve">operación </w:t>
      </w:r>
      <w:r w:rsidR="00D426DE">
        <w:t xml:space="preserve">cada vez que se fije una nueva tasa de cotización adicional </w:t>
      </w:r>
      <w:r w:rsidR="00397EB0">
        <w:t xml:space="preserve">por </w:t>
      </w:r>
      <w:r w:rsidR="00D74401">
        <w:t xml:space="preserve">siniestralidad efectiva, </w:t>
      </w:r>
      <w:r w:rsidR="00D426DE">
        <w:t xml:space="preserve">oportunidad en que </w:t>
      </w:r>
      <w:r w:rsidR="004C514E">
        <w:t xml:space="preserve">se </w:t>
      </w:r>
      <w:r w:rsidR="00D426DE">
        <w:t xml:space="preserve">deberá emitir una nueva resolución que </w:t>
      </w:r>
      <w:r w:rsidR="00D74401">
        <w:t>mantenga o modifique</w:t>
      </w:r>
      <w:r w:rsidR="00D426DE">
        <w:t xml:space="preserve"> el recargo</w:t>
      </w:r>
      <w:r w:rsidR="004C514E">
        <w:t xml:space="preserve">, en virtud </w:t>
      </w:r>
      <w:r w:rsidR="00D426DE">
        <w:t xml:space="preserve"> del referido tope</w:t>
      </w:r>
      <w:r w:rsidR="004C514E">
        <w:t xml:space="preserve">, </w:t>
      </w:r>
      <w:r w:rsidR="00D426DE">
        <w:t>en el entendido,</w:t>
      </w:r>
      <w:r w:rsidR="004C514E">
        <w:t xml:space="preserve"> </w:t>
      </w:r>
      <w:r w:rsidR="00D426DE">
        <w:t>por cierto, que las causas que le dieron origen</w:t>
      </w:r>
      <w:r w:rsidR="004C514E" w:rsidRPr="004C514E">
        <w:t xml:space="preserve"> no han sido subsanadas</w:t>
      </w:r>
      <w:r w:rsidR="004C514E">
        <w:t>.</w:t>
      </w:r>
    </w:p>
    <w:p w14:paraId="22B5615C" w14:textId="0C0F84D8" w:rsidR="00DB123A" w:rsidRDefault="005133CE" w:rsidP="00160560">
      <w:pPr>
        <w:pStyle w:val="Prrafodelista"/>
        <w:numPr>
          <w:ilvl w:val="0"/>
          <w:numId w:val="5"/>
        </w:numPr>
        <w:spacing w:before="120" w:after="120"/>
        <w:contextualSpacing w:val="0"/>
        <w:jc w:val="both"/>
      </w:pPr>
      <w:r>
        <w:t xml:space="preserve">En otro orden, se establece que si una entidad empleadora se cambia de organismo administrador, el nuevo organismo deberá requerir al anterior </w:t>
      </w:r>
      <w:r w:rsidR="00D426DE">
        <w:t xml:space="preserve">que le remita </w:t>
      </w:r>
      <w:r>
        <w:t>los antecedentes necesarios para la evaluación de su siniestralidad efectiva</w:t>
      </w:r>
      <w:r w:rsidR="00D426DE">
        <w:t xml:space="preserve"> y</w:t>
      </w:r>
      <w:r>
        <w:t xml:space="preserve"> que le informe si la entidad empleadora registra </w:t>
      </w:r>
      <w:r w:rsidR="00DB123A">
        <w:t xml:space="preserve">un recargo </w:t>
      </w:r>
      <w:r w:rsidR="00D426DE">
        <w:t xml:space="preserve">vigente – entiéndase </w:t>
      </w:r>
      <w:r w:rsidR="00DB123A">
        <w:t>del art</w:t>
      </w:r>
      <w:r w:rsidR="00D426DE">
        <w:t>ículo 15 del D.S. N°67 -</w:t>
      </w:r>
      <w:r>
        <w:t xml:space="preserve"> y en caso afirmativo, que le envíe dentro de los 5 días hábiles siguientes a dicho requerimiento, copia de la resolución que lo impuso y de los antecedentes que lo sustentan. </w:t>
      </w:r>
      <w:r w:rsidR="00D426DE">
        <w:t xml:space="preserve">Además </w:t>
      </w:r>
      <w:r>
        <w:t xml:space="preserve">se </w:t>
      </w:r>
      <w:r w:rsidR="00D426DE">
        <w:t xml:space="preserve">establece </w:t>
      </w:r>
      <w:r>
        <w:t xml:space="preserve">que si al momento de surtir efecto el cambio de organismo administrador, el anterior ya verificó que cesaron las causas que motivaron su aplicación, será dicho organismo el que deberá dictar la resolución que le ponga término y </w:t>
      </w:r>
      <w:r w:rsidR="00D426DE">
        <w:t xml:space="preserve">remitirla </w:t>
      </w:r>
      <w:r>
        <w:t>al nuevo organismo, dentro del mismo plazo de 5 días hábiles.</w:t>
      </w:r>
      <w:r w:rsidR="00DB123A">
        <w:t xml:space="preserve"> </w:t>
      </w:r>
    </w:p>
    <w:p w14:paraId="2364CE5B" w14:textId="77777777" w:rsidR="00DB123A" w:rsidRDefault="003510DD" w:rsidP="00160560">
      <w:pPr>
        <w:pStyle w:val="Prrafodelista"/>
        <w:numPr>
          <w:ilvl w:val="0"/>
          <w:numId w:val="5"/>
        </w:numPr>
        <w:spacing w:before="120" w:after="120"/>
        <w:contextualSpacing w:val="0"/>
        <w:jc w:val="both"/>
      </w:pPr>
      <w:r>
        <w:t xml:space="preserve">También en el contexto de un </w:t>
      </w:r>
      <w:r w:rsidR="00DB123A">
        <w:t xml:space="preserve">cambio de organismo administrador, se </w:t>
      </w:r>
      <w:r>
        <w:t xml:space="preserve">dispone </w:t>
      </w:r>
      <w:r w:rsidR="00DB123A">
        <w:t xml:space="preserve">que </w:t>
      </w:r>
      <w:r w:rsidR="00197805">
        <w:t>será obligación d</w:t>
      </w:r>
      <w:r w:rsidR="00DB123A">
        <w:t>el nuevo organismo</w:t>
      </w:r>
      <w:r w:rsidR="00B64BF5">
        <w:t>,</w:t>
      </w:r>
      <w:r w:rsidR="00DB123A">
        <w:t xml:space="preserve"> requerir al anterior una copia de la resolución que fija la tasa de cotización adicional diferenciada </w:t>
      </w:r>
      <w:r w:rsidR="00197805">
        <w:t xml:space="preserve">y </w:t>
      </w:r>
      <w:r w:rsidR="00397EB0">
        <w:t xml:space="preserve">paralelamente, se </w:t>
      </w:r>
      <w:r w:rsidR="00197805">
        <w:t xml:space="preserve">elimina la exigencia para el empleador de acompañar </w:t>
      </w:r>
      <w:r w:rsidR="00397EB0">
        <w:t>ese antecedente</w:t>
      </w:r>
      <w:r w:rsidR="00197805">
        <w:t xml:space="preserve"> a la solicitud de adhesión. </w:t>
      </w:r>
    </w:p>
    <w:p w14:paraId="6D4D3AEB" w14:textId="77777777" w:rsidR="00DB123A" w:rsidRDefault="00DB123A" w:rsidP="00160560">
      <w:pPr>
        <w:pStyle w:val="Prrafodelista"/>
        <w:numPr>
          <w:ilvl w:val="0"/>
          <w:numId w:val="5"/>
        </w:numPr>
        <w:spacing w:before="120" w:after="120"/>
        <w:contextualSpacing w:val="0"/>
        <w:jc w:val="both"/>
      </w:pPr>
      <w:r>
        <w:t>Por otra parte, se</w:t>
      </w:r>
      <w:r w:rsidR="00B64BF5">
        <w:t xml:space="preserve"> modifica el Libro III</w:t>
      </w:r>
      <w:r>
        <w:t xml:space="preserve"> </w:t>
      </w:r>
      <w:r w:rsidR="003510DD">
        <w:t xml:space="preserve">precisando </w:t>
      </w:r>
      <w:r w:rsidR="007B2F73">
        <w:t>que la circunstancia de encontrarse pend</w:t>
      </w:r>
      <w:r w:rsidR="003510DD">
        <w:t>iente</w:t>
      </w:r>
      <w:r w:rsidR="007B2F73">
        <w:t xml:space="preserve"> de </w:t>
      </w:r>
      <w:r w:rsidR="003510DD">
        <w:t>análisis una reclamación interpuesta</w:t>
      </w:r>
      <w:r w:rsidR="007B2F73">
        <w:t xml:space="preserve"> por la entidad empleadora en contra de </w:t>
      </w:r>
      <w:r w:rsidR="007B2F73">
        <w:lastRenderedPageBreak/>
        <w:t xml:space="preserve">la calificación laboral de una enfermedad, no lo exime de la obligación de implementar las medidas prescritas por su organismo administrador y los protocolos de vigilancia que </w:t>
      </w:r>
      <w:r w:rsidR="003510DD">
        <w:t>resulte</w:t>
      </w:r>
      <w:r w:rsidR="007B2F73">
        <w:t>n aplicables.</w:t>
      </w:r>
    </w:p>
    <w:p w14:paraId="46DA3C9C" w14:textId="0012EBAA" w:rsidR="00D74401" w:rsidRDefault="00B64BF5" w:rsidP="00160560">
      <w:pPr>
        <w:pStyle w:val="Prrafodelista"/>
        <w:numPr>
          <w:ilvl w:val="0"/>
          <w:numId w:val="5"/>
        </w:numPr>
        <w:spacing w:before="120" w:after="120"/>
        <w:contextualSpacing w:val="0"/>
        <w:jc w:val="both"/>
      </w:pPr>
      <w:r>
        <w:t>Finalmente, se modifica el Libro IV, en lo re</w:t>
      </w:r>
      <w:r w:rsidR="003510DD">
        <w:t xml:space="preserve">lativo a la </w:t>
      </w:r>
      <w:r>
        <w:t xml:space="preserve">verificación del cumplimiento de las medidas prescritas, </w:t>
      </w:r>
      <w:r w:rsidR="004C514E">
        <w:t xml:space="preserve">y la sanción por su incumplimiento, </w:t>
      </w:r>
      <w:r>
        <w:t>estableciendo:</w:t>
      </w:r>
    </w:p>
    <w:p w14:paraId="3D541499" w14:textId="3569AF5C" w:rsidR="00B64BF5" w:rsidRDefault="004C514E" w:rsidP="00160560">
      <w:pPr>
        <w:pStyle w:val="Prrafodelista"/>
        <w:numPr>
          <w:ilvl w:val="0"/>
          <w:numId w:val="6"/>
        </w:numPr>
        <w:spacing w:before="120" w:after="120"/>
        <w:contextualSpacing w:val="0"/>
        <w:jc w:val="both"/>
      </w:pPr>
      <w:r>
        <w:t xml:space="preserve">Que </w:t>
      </w:r>
      <w:r w:rsidR="00B64BF5">
        <w:t>regirá</w:t>
      </w:r>
      <w:r w:rsidR="00DD7884">
        <w:t>n</w:t>
      </w:r>
      <w:r>
        <w:t>,</w:t>
      </w:r>
      <w:r w:rsidRPr="004C514E">
        <w:t xml:space="preserve"> </w:t>
      </w:r>
      <w:r>
        <w:t>en primer lugar,</w:t>
      </w:r>
      <w:r w:rsidR="00B64BF5">
        <w:t xml:space="preserve"> los plazos de verificación que el Compendio de Normas del Seguro de la Ley N°16.744, </w:t>
      </w:r>
      <w:r w:rsidR="003510DD">
        <w:t xml:space="preserve">establece </w:t>
      </w:r>
      <w:r w:rsidR="00B64BF5">
        <w:t xml:space="preserve">en </w:t>
      </w:r>
      <w:r w:rsidR="003510DD">
        <w:t xml:space="preserve">el ámbito </w:t>
      </w:r>
      <w:r w:rsidR="00B64BF5">
        <w:t>del Programa de Asistencia al Cumplimiento (PAC)</w:t>
      </w:r>
      <w:r w:rsidR="003510DD">
        <w:t xml:space="preserve"> del artículo 506 ter del Código del Trabajo</w:t>
      </w:r>
      <w:r w:rsidR="00B64BF5">
        <w:t>; de los accidentes graves o fatales y de la calificación de una enfermedad profesional</w:t>
      </w:r>
      <w:r w:rsidR="003510DD">
        <w:t xml:space="preserve">; o aquellos de plazos de verificación </w:t>
      </w:r>
      <w:r w:rsidR="00B64BF5">
        <w:t xml:space="preserve">que eventualmente establezcan </w:t>
      </w:r>
      <w:r w:rsidR="003510DD">
        <w:t>los protocolos de vigilancia del Ministerio de Salud.</w:t>
      </w:r>
    </w:p>
    <w:p w14:paraId="5DA708F2" w14:textId="2C00B0D3" w:rsidR="00160560" w:rsidRDefault="00160560" w:rsidP="00160560">
      <w:pPr>
        <w:pStyle w:val="Prrafodelista"/>
        <w:numPr>
          <w:ilvl w:val="0"/>
          <w:numId w:val="6"/>
        </w:numPr>
        <w:spacing w:before="120" w:after="120"/>
        <w:contextualSpacing w:val="0"/>
        <w:jc w:val="both"/>
      </w:pPr>
      <w:r>
        <w:t>Ahora bien, s</w:t>
      </w:r>
      <w:r w:rsidR="00B64BF5">
        <w:t xml:space="preserve">i el riesgo que se pretende controlar, no se relaciona con alguna de </w:t>
      </w:r>
      <w:r w:rsidR="00F44745">
        <w:t xml:space="preserve">las </w:t>
      </w:r>
      <w:r w:rsidR="00B64BF5">
        <w:t xml:space="preserve">situaciones </w:t>
      </w:r>
      <w:r w:rsidR="00DD7884">
        <w:t xml:space="preserve">descritas precedentemente </w:t>
      </w:r>
      <w:r w:rsidR="00B64BF5">
        <w:t xml:space="preserve">o no cuenta con un plazo de verificación establecido, </w:t>
      </w:r>
      <w:r w:rsidR="003510DD">
        <w:t>el plazo de verificación será de 90 días corridos. En esta situación se deberá además anal</w:t>
      </w:r>
      <w:r w:rsidR="004A175F">
        <w:t>izar si el riesgo en cuestión</w:t>
      </w:r>
      <w:r w:rsidR="003510DD">
        <w:t xml:space="preserve"> corresponde a uno </w:t>
      </w:r>
      <w:r w:rsidR="00B64BF5">
        <w:t xml:space="preserve">de los riesgos </w:t>
      </w:r>
      <w:r w:rsidR="003510DD">
        <w:t>previstos en</w:t>
      </w:r>
      <w:r w:rsidR="00B64BF5">
        <w:t xml:space="preserve"> </w:t>
      </w:r>
      <w:r w:rsidR="00B64BF5" w:rsidRPr="00B64BF5">
        <w:t>la “Guía para la identificación y evaluación de riesgos de seguridad de los ambientes de trabajo”, del Instituto de Salud Pública (ISP)</w:t>
      </w:r>
      <w:r w:rsidR="003510DD">
        <w:t xml:space="preserve">, </w:t>
      </w:r>
      <w:r w:rsidR="00B64BF5">
        <w:t xml:space="preserve">y que en el </w:t>
      </w:r>
      <w:r>
        <w:t>nuevo A</w:t>
      </w:r>
      <w:r w:rsidR="00B64BF5">
        <w:t xml:space="preserve">nexo </w:t>
      </w:r>
      <w:r w:rsidR="00DD7884">
        <w:t>N°38</w:t>
      </w:r>
      <w:r w:rsidR="004C514E">
        <w:t xml:space="preserve"> de la letra K del Título II </w:t>
      </w:r>
      <w:r>
        <w:t xml:space="preserve">, han sido clasificados </w:t>
      </w:r>
      <w:r w:rsidR="00DD7884">
        <w:t xml:space="preserve">en las categorías 1 y 2. </w:t>
      </w:r>
    </w:p>
    <w:p w14:paraId="6C0F242C" w14:textId="596CD13E" w:rsidR="00160560" w:rsidRDefault="004A175F" w:rsidP="004A175F">
      <w:pPr>
        <w:pStyle w:val="Prrafodelista"/>
        <w:numPr>
          <w:ilvl w:val="0"/>
          <w:numId w:val="6"/>
        </w:numPr>
        <w:spacing w:before="120" w:after="120"/>
        <w:contextualSpacing w:val="0"/>
        <w:jc w:val="both"/>
      </w:pPr>
      <w:r>
        <w:t>S</w:t>
      </w:r>
      <w:r w:rsidR="00160560">
        <w:t xml:space="preserve">i </w:t>
      </w:r>
      <w:r>
        <w:t xml:space="preserve">el riesgo </w:t>
      </w:r>
      <w:r w:rsidR="00160560">
        <w:t xml:space="preserve">ha sido </w:t>
      </w:r>
      <w:r w:rsidR="00DD7884">
        <w:t>cla</w:t>
      </w:r>
      <w:r w:rsidR="00160560">
        <w:t>sificado en la categorí</w:t>
      </w:r>
      <w:r>
        <w:t>a</w:t>
      </w:r>
      <w:r w:rsidR="00160560">
        <w:t xml:space="preserve"> 1 y la entidad empleadora no </w:t>
      </w:r>
      <w:r>
        <w:t xml:space="preserve">ha </w:t>
      </w:r>
      <w:r w:rsidR="00160560">
        <w:t>implementa</w:t>
      </w:r>
      <w:r>
        <w:t>do</w:t>
      </w:r>
      <w:r w:rsidR="00DD7884">
        <w:t xml:space="preserve"> la medida prescrita </w:t>
      </w:r>
      <w:r w:rsidR="00F44745">
        <w:t>en el plazo que</w:t>
      </w:r>
      <w:r w:rsidR="004C514E">
        <w:t xml:space="preserve"> se le hubiere</w:t>
      </w:r>
      <w:r w:rsidR="00F44745">
        <w:t xml:space="preserve"> fijado, </w:t>
      </w:r>
      <w:r w:rsidR="00DD7884">
        <w:t>deberá ser inmediatamente sancionada con la aplicación del recargo de su cotización adicional diferenciada</w:t>
      </w:r>
      <w:r w:rsidR="00160560">
        <w:t xml:space="preserve">. </w:t>
      </w:r>
    </w:p>
    <w:p w14:paraId="1BEB9A48" w14:textId="4D3B74F9" w:rsidR="00160560" w:rsidRDefault="00160560" w:rsidP="00160560">
      <w:pPr>
        <w:pStyle w:val="Prrafodelista"/>
        <w:numPr>
          <w:ilvl w:val="0"/>
          <w:numId w:val="6"/>
        </w:numPr>
        <w:spacing w:before="120" w:after="120"/>
        <w:contextualSpacing w:val="0"/>
        <w:jc w:val="both"/>
      </w:pPr>
      <w:r>
        <w:t xml:space="preserve">Por el contrario, si </w:t>
      </w:r>
      <w:r w:rsidR="004A175F">
        <w:t xml:space="preserve">el riesgo </w:t>
      </w:r>
      <w:r>
        <w:t xml:space="preserve">ha sido clasificado en la categoría 2 y se constata que  la entidad empleadora no ha implementado la medida, se </w:t>
      </w:r>
      <w:r w:rsidR="004C514E">
        <w:t xml:space="preserve">le </w:t>
      </w:r>
      <w:r>
        <w:t xml:space="preserve">deberá conceder un nuevo plazo </w:t>
      </w:r>
      <w:r w:rsidR="004C514E">
        <w:t xml:space="preserve">de implementación, </w:t>
      </w:r>
      <w:r>
        <w:t xml:space="preserve">no superior al original, </w:t>
      </w:r>
      <w:r w:rsidR="004C514E">
        <w:t xml:space="preserve">y </w:t>
      </w:r>
      <w:r>
        <w:t xml:space="preserve">efectuar esta segunda verificación en un plazo no superior a 30 días corridos. Solo si </w:t>
      </w:r>
      <w:r w:rsidR="004A175F">
        <w:t>al término de</w:t>
      </w:r>
      <w:r w:rsidR="004C514E">
        <w:t xml:space="preserve"> ese </w:t>
      </w:r>
      <w:r w:rsidR="004A175F">
        <w:t xml:space="preserve">nuevo plazo, </w:t>
      </w:r>
      <w:r>
        <w:t>la entidad empleadora persiste en su incumplimiento, deberá ser sancionada con el recargo de su cotización adicional diferenciada</w:t>
      </w:r>
      <w:r w:rsidR="004A175F">
        <w:t>.</w:t>
      </w:r>
    </w:p>
    <w:p w14:paraId="3CF9E190" w14:textId="22B64BF0" w:rsidR="004D3971" w:rsidRPr="004D3971" w:rsidRDefault="004A175F" w:rsidP="004D3971">
      <w:pPr>
        <w:pStyle w:val="Prrafodelista"/>
        <w:numPr>
          <w:ilvl w:val="0"/>
          <w:numId w:val="6"/>
        </w:numPr>
        <w:spacing w:before="120" w:after="120"/>
        <w:contextualSpacing w:val="0"/>
        <w:jc w:val="both"/>
      </w:pPr>
      <w:r>
        <w:t>Por último, se dispone que cualquier riesgo no contemplado en alguna de esas categorías, deberá asimilarse a los de la categoría 2, para efecto de los plazos de verificación de las medidas prescritas y de la oportunidad o condiciones en las que se aplicará el recargo de la cotización adicional diferenciada.</w:t>
      </w:r>
    </w:p>
    <w:p w14:paraId="137735D6" w14:textId="77777777" w:rsidR="004D3971" w:rsidRDefault="004D3971" w:rsidP="004D3971">
      <w:pPr>
        <w:jc w:val="both"/>
        <w:rPr>
          <w:lang w:val="es-ES"/>
        </w:rPr>
      </w:pPr>
      <w:r>
        <w:rPr>
          <w:lang w:val="es-ES"/>
        </w:rPr>
        <w:t xml:space="preserve">Para efectuar comentarios al presente proyecto de circular, se solicita enviar el archivo que se adjunta a continuación, al correo electrónico </w:t>
      </w:r>
      <w:hyperlink r:id="rId8" w:history="1">
        <w:r w:rsidRPr="00411FFE">
          <w:rPr>
            <w:rStyle w:val="Hipervnculo"/>
            <w:lang w:val="es-ES"/>
          </w:rPr>
          <w:t>isesa</w:t>
        </w:r>
        <w:r w:rsidRPr="00411FFE">
          <w:rPr>
            <w:rStyle w:val="Hipervnculo"/>
          </w:rPr>
          <w:t>t</w:t>
        </w:r>
        <w:r w:rsidRPr="00411FFE">
          <w:rPr>
            <w:rStyle w:val="Hipervnculo"/>
            <w:lang w:val="es-ES"/>
          </w:rPr>
          <w:t>@suseso.cl</w:t>
        </w:r>
      </w:hyperlink>
      <w:r>
        <w:rPr>
          <w:lang w:val="es-ES"/>
        </w:rPr>
        <w:t>.</w:t>
      </w:r>
    </w:p>
    <w:p w14:paraId="43C5A614" w14:textId="77777777" w:rsidR="004D3971" w:rsidRPr="004D3971" w:rsidRDefault="004D3971" w:rsidP="004D3971">
      <w:pPr>
        <w:spacing w:before="120" w:after="120"/>
        <w:jc w:val="both"/>
        <w:rPr>
          <w:lang w:val="es-ES"/>
        </w:rPr>
      </w:pPr>
    </w:p>
    <w:p w14:paraId="341152B2" w14:textId="3294A449" w:rsidR="00B64BF5" w:rsidRDefault="00B64BF5" w:rsidP="00B64BF5">
      <w:pPr>
        <w:spacing w:before="120" w:after="120"/>
        <w:ind w:left="425"/>
        <w:jc w:val="both"/>
      </w:pPr>
    </w:p>
    <w:p w14:paraId="0B6F5D77" w14:textId="7BBB9DC3" w:rsidR="00F455ED" w:rsidRDefault="00F455ED" w:rsidP="00B64BF5">
      <w:pPr>
        <w:spacing w:before="120" w:after="120"/>
        <w:ind w:left="425"/>
        <w:jc w:val="both"/>
      </w:pPr>
    </w:p>
    <w:p w14:paraId="67A046E9" w14:textId="59587AFE" w:rsidR="00F455ED" w:rsidRDefault="00F455ED" w:rsidP="00B64BF5">
      <w:pPr>
        <w:spacing w:before="120" w:after="120"/>
        <w:ind w:left="425"/>
        <w:jc w:val="both"/>
      </w:pPr>
    </w:p>
    <w:p w14:paraId="10A562BB" w14:textId="5FCA1E40" w:rsidR="00F455ED" w:rsidRDefault="00F455ED" w:rsidP="00AF04D7">
      <w:pPr>
        <w:spacing w:before="120" w:after="120"/>
        <w:jc w:val="both"/>
        <w:sectPr w:rsidR="00F455ED">
          <w:headerReference w:type="default" r:id="rId9"/>
          <w:footerReference w:type="default" r:id="rId10"/>
          <w:pgSz w:w="12240" w:h="15840"/>
          <w:pgMar w:top="1417" w:right="1701" w:bottom="1417" w:left="1701" w:header="708" w:footer="708" w:gutter="0"/>
          <w:cols w:space="708"/>
          <w:docGrid w:linePitch="360"/>
        </w:sectPr>
      </w:pPr>
    </w:p>
    <w:tbl>
      <w:tblPr>
        <w:tblStyle w:val="Tablaconcuadrcula"/>
        <w:tblW w:w="12328" w:type="dxa"/>
        <w:jc w:val="center"/>
        <w:tblLook w:val="04A0" w:firstRow="1" w:lastRow="0" w:firstColumn="1" w:lastColumn="0" w:noHBand="0" w:noVBand="1"/>
      </w:tblPr>
      <w:tblGrid>
        <w:gridCol w:w="1696"/>
        <w:gridCol w:w="1985"/>
        <w:gridCol w:w="1984"/>
        <w:gridCol w:w="2835"/>
        <w:gridCol w:w="3828"/>
      </w:tblGrid>
      <w:tr w:rsidR="00F455ED" w14:paraId="3A14F260" w14:textId="77777777" w:rsidTr="006B791A">
        <w:trPr>
          <w:jc w:val="center"/>
        </w:trPr>
        <w:tc>
          <w:tcPr>
            <w:tcW w:w="12328" w:type="dxa"/>
            <w:gridSpan w:val="5"/>
          </w:tcPr>
          <w:p w14:paraId="7262243B" w14:textId="05C587DF" w:rsidR="00F455ED" w:rsidRPr="001854AB" w:rsidRDefault="00F455ED" w:rsidP="00F455ED">
            <w:pPr>
              <w:jc w:val="center"/>
              <w:rPr>
                <w:b/>
                <w:bCs/>
                <w:sz w:val="28"/>
                <w:szCs w:val="28"/>
              </w:rPr>
            </w:pPr>
            <w:r w:rsidRPr="001854AB">
              <w:rPr>
                <w:b/>
                <w:bCs/>
                <w:sz w:val="28"/>
                <w:szCs w:val="28"/>
              </w:rPr>
              <w:lastRenderedPageBreak/>
              <w:t xml:space="preserve">OBSERVACIONES AL PROYECTO DE CIRCULAR </w:t>
            </w:r>
            <w:r w:rsidRPr="00F455ED">
              <w:rPr>
                <w:b/>
                <w:bCs/>
                <w:sz w:val="28"/>
                <w:szCs w:val="28"/>
              </w:rPr>
              <w:t>QUE COMPLEMENTA LAS INSTRUCCIONES SOBRE RECARGO DE LA COTIZACIÓN ADICIONAL DIFERENCIADA Y PRESCRIPCIÓN DE MEDIDAS</w:t>
            </w:r>
          </w:p>
        </w:tc>
      </w:tr>
      <w:tr w:rsidR="00F455ED" w14:paraId="29B45B0C" w14:textId="77777777" w:rsidTr="006B791A">
        <w:trPr>
          <w:jc w:val="center"/>
        </w:trPr>
        <w:tc>
          <w:tcPr>
            <w:tcW w:w="1696" w:type="dxa"/>
            <w:shd w:val="clear" w:color="auto" w:fill="2F5496" w:themeFill="accent1" w:themeFillShade="BF"/>
          </w:tcPr>
          <w:p w14:paraId="50A32451" w14:textId="77777777" w:rsidR="00F455ED" w:rsidRPr="001854AB" w:rsidRDefault="00F455ED" w:rsidP="006B791A">
            <w:pPr>
              <w:rPr>
                <w:color w:val="FFFFFF" w:themeColor="background1"/>
              </w:rPr>
            </w:pPr>
            <w:r w:rsidRPr="001854AB">
              <w:rPr>
                <w:color w:val="FFFFFF" w:themeColor="background1"/>
              </w:rPr>
              <w:t>PERSONA O ENTIDAD QUE EFECTÚA EL COMENTARIO U OBSERVACIÓN</w:t>
            </w:r>
          </w:p>
        </w:tc>
        <w:tc>
          <w:tcPr>
            <w:tcW w:w="1985" w:type="dxa"/>
            <w:shd w:val="clear" w:color="auto" w:fill="2F5496" w:themeFill="accent1" w:themeFillShade="BF"/>
          </w:tcPr>
          <w:p w14:paraId="1DB5104B" w14:textId="77777777" w:rsidR="00F455ED" w:rsidRPr="001854AB" w:rsidRDefault="00F455ED" w:rsidP="006B791A">
            <w:pPr>
              <w:rPr>
                <w:color w:val="FFFFFF" w:themeColor="background1"/>
              </w:rPr>
            </w:pPr>
            <w:r w:rsidRPr="001854AB">
              <w:rPr>
                <w:color w:val="FFFFFF" w:themeColor="background1"/>
              </w:rPr>
              <w:t>SECCIÓN</w:t>
            </w:r>
            <w:r>
              <w:rPr>
                <w:color w:val="FFFFFF" w:themeColor="background1"/>
              </w:rPr>
              <w:t xml:space="preserve"> O NÚMERO,</w:t>
            </w:r>
            <w:r w:rsidRPr="001854AB">
              <w:rPr>
                <w:color w:val="FFFFFF" w:themeColor="background1"/>
              </w:rPr>
              <w:t xml:space="preserve"> </w:t>
            </w:r>
            <w:r>
              <w:rPr>
                <w:color w:val="FFFFFF" w:themeColor="background1"/>
              </w:rPr>
              <w:t xml:space="preserve">EN EL COMPENDIO O </w:t>
            </w:r>
            <w:r w:rsidRPr="001854AB">
              <w:rPr>
                <w:color w:val="FFFFFF" w:themeColor="background1"/>
              </w:rPr>
              <w:t xml:space="preserve"> PROYECTO</w:t>
            </w:r>
            <w:r>
              <w:rPr>
                <w:color w:val="FFFFFF" w:themeColor="background1"/>
              </w:rPr>
              <w:t xml:space="preserve"> DE CIRCULAR,</w:t>
            </w:r>
            <w:r w:rsidRPr="001854AB">
              <w:rPr>
                <w:color w:val="FFFFFF" w:themeColor="background1"/>
              </w:rPr>
              <w:t xml:space="preserve"> OBJETO DEL COMENTARIO</w:t>
            </w:r>
          </w:p>
        </w:tc>
        <w:tc>
          <w:tcPr>
            <w:tcW w:w="1984" w:type="dxa"/>
            <w:shd w:val="clear" w:color="auto" w:fill="2F5496" w:themeFill="accent1" w:themeFillShade="BF"/>
          </w:tcPr>
          <w:p w14:paraId="463ED10E" w14:textId="77777777" w:rsidR="00F455ED" w:rsidRPr="001854AB" w:rsidRDefault="00F455ED" w:rsidP="006B791A">
            <w:pPr>
              <w:rPr>
                <w:color w:val="FFFFFF" w:themeColor="background1"/>
              </w:rPr>
            </w:pPr>
            <w:r w:rsidRPr="001854AB">
              <w:rPr>
                <w:color w:val="FFFFFF" w:themeColor="background1"/>
              </w:rPr>
              <w:t>TÍTULO DE</w:t>
            </w:r>
            <w:r>
              <w:rPr>
                <w:color w:val="FFFFFF" w:themeColor="background1"/>
              </w:rPr>
              <w:t xml:space="preserve"> LA SECCIÓN DEL </w:t>
            </w:r>
            <w:r w:rsidRPr="001854AB">
              <w:rPr>
                <w:color w:val="FFFFFF" w:themeColor="background1"/>
              </w:rPr>
              <w:t>PROYECTO</w:t>
            </w:r>
            <w:r>
              <w:rPr>
                <w:color w:val="FFFFFF" w:themeColor="background1"/>
              </w:rPr>
              <w:t xml:space="preserve"> O COMPENDIO, </w:t>
            </w:r>
            <w:r w:rsidRPr="001854AB">
              <w:rPr>
                <w:color w:val="FFFFFF" w:themeColor="background1"/>
              </w:rPr>
              <w:t xml:space="preserve"> OBJETO DEL COMENTARIO</w:t>
            </w:r>
          </w:p>
        </w:tc>
        <w:tc>
          <w:tcPr>
            <w:tcW w:w="2835" w:type="dxa"/>
            <w:shd w:val="clear" w:color="auto" w:fill="2F5496" w:themeFill="accent1" w:themeFillShade="BF"/>
          </w:tcPr>
          <w:p w14:paraId="72E6EEAF" w14:textId="77777777" w:rsidR="00F455ED" w:rsidRPr="001854AB" w:rsidRDefault="00F455ED" w:rsidP="006B791A">
            <w:pPr>
              <w:rPr>
                <w:color w:val="FFFFFF" w:themeColor="background1"/>
              </w:rPr>
            </w:pPr>
            <w:r w:rsidRPr="001854AB">
              <w:rPr>
                <w:color w:val="FFFFFF" w:themeColor="background1"/>
              </w:rPr>
              <w:t xml:space="preserve">TEXTO </w:t>
            </w:r>
            <w:r>
              <w:rPr>
                <w:color w:val="FFFFFF" w:themeColor="background1"/>
              </w:rPr>
              <w:t xml:space="preserve">DE LA SECCIÓN DEL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Pr>
                <w:color w:val="FFFFFF" w:themeColor="background1"/>
              </w:rPr>
              <w:t xml:space="preserve"> OBJETO DEL COMENTARIO</w:t>
            </w:r>
          </w:p>
        </w:tc>
        <w:tc>
          <w:tcPr>
            <w:tcW w:w="3828" w:type="dxa"/>
            <w:shd w:val="clear" w:color="auto" w:fill="2F5496" w:themeFill="accent1" w:themeFillShade="BF"/>
          </w:tcPr>
          <w:p w14:paraId="205F9F4B" w14:textId="77777777" w:rsidR="00F455ED" w:rsidRPr="001854AB" w:rsidRDefault="00F455ED" w:rsidP="006B791A">
            <w:pPr>
              <w:rPr>
                <w:color w:val="FFFFFF" w:themeColor="background1"/>
              </w:rPr>
            </w:pPr>
            <w:r w:rsidRPr="001854AB">
              <w:rPr>
                <w:color w:val="FFFFFF" w:themeColor="background1"/>
              </w:rPr>
              <w:t>COMENTARIOS</w:t>
            </w:r>
          </w:p>
          <w:p w14:paraId="0F6ED37F" w14:textId="77777777" w:rsidR="00F455ED" w:rsidRPr="001854AB" w:rsidRDefault="00F455ED" w:rsidP="006B791A">
            <w:pPr>
              <w:rPr>
                <w:color w:val="FFFFFF" w:themeColor="background1"/>
              </w:rPr>
            </w:pPr>
            <w:r w:rsidRPr="001854AB">
              <w:rPr>
                <w:color w:val="FFFFFF" w:themeColor="background1"/>
              </w:rPr>
              <w:t>DE LA PERSONA O ENTIDAD</w:t>
            </w:r>
          </w:p>
        </w:tc>
      </w:tr>
      <w:tr w:rsidR="00F455ED" w14:paraId="55043460" w14:textId="77777777" w:rsidTr="006B791A">
        <w:trPr>
          <w:jc w:val="center"/>
        </w:trPr>
        <w:tc>
          <w:tcPr>
            <w:tcW w:w="1696" w:type="dxa"/>
          </w:tcPr>
          <w:p w14:paraId="07159FC6" w14:textId="77777777" w:rsidR="00F455ED" w:rsidRDefault="00F455ED" w:rsidP="006B791A">
            <w:r>
              <w:t>Ejemplo:</w:t>
            </w:r>
          </w:p>
          <w:p w14:paraId="639F1C2F" w14:textId="77777777" w:rsidR="00F455ED" w:rsidRDefault="00F455ED" w:rsidP="006B791A"/>
          <w:p w14:paraId="6A092C2F" w14:textId="77777777" w:rsidR="00F455ED" w:rsidRDefault="00F455ED" w:rsidP="006B791A">
            <w:r w:rsidRPr="00046CC8">
              <w:rPr>
                <w:color w:val="808080" w:themeColor="background1" w:themeShade="80"/>
              </w:rPr>
              <w:t>Mutualidad de Empleadores</w:t>
            </w:r>
          </w:p>
        </w:tc>
        <w:tc>
          <w:tcPr>
            <w:tcW w:w="1985" w:type="dxa"/>
          </w:tcPr>
          <w:p w14:paraId="7CF1039A" w14:textId="77777777" w:rsidR="00F455ED" w:rsidRPr="00E80D80" w:rsidRDefault="00F455ED" w:rsidP="006B791A">
            <w:pPr>
              <w:jc w:val="both"/>
              <w:rPr>
                <w:color w:val="808080" w:themeColor="background1" w:themeShade="80"/>
              </w:rPr>
            </w:pPr>
            <w:r w:rsidRPr="00E80D80">
              <w:rPr>
                <w:color w:val="808080" w:themeColor="background1" w:themeShade="80"/>
              </w:rPr>
              <w:t>Ejemplo:</w:t>
            </w:r>
          </w:p>
          <w:p w14:paraId="452426CD" w14:textId="77777777" w:rsidR="00F455ED" w:rsidRPr="00E80D80" w:rsidRDefault="00F455ED" w:rsidP="006B791A">
            <w:pPr>
              <w:jc w:val="both"/>
              <w:rPr>
                <w:color w:val="808080" w:themeColor="background1" w:themeShade="80"/>
              </w:rPr>
            </w:pPr>
          </w:p>
          <w:p w14:paraId="16F16A0E" w14:textId="77777777" w:rsidR="00F455ED" w:rsidRDefault="00F455ED" w:rsidP="006B791A">
            <w:r w:rsidRPr="00E80D80">
              <w:rPr>
                <w:color w:val="808080" w:themeColor="background1" w:themeShade="80"/>
              </w:rPr>
              <w:t>Número 1, Letra A,</w:t>
            </w:r>
            <w:r>
              <w:rPr>
                <w:color w:val="808080" w:themeColor="background1" w:themeShade="80"/>
              </w:rPr>
              <w:t xml:space="preserve"> </w:t>
            </w:r>
            <w:r w:rsidRPr="00E80D80">
              <w:rPr>
                <w:color w:val="808080" w:themeColor="background1" w:themeShade="80"/>
              </w:rPr>
              <w:t>Título II, Libro IV</w:t>
            </w:r>
          </w:p>
        </w:tc>
        <w:tc>
          <w:tcPr>
            <w:tcW w:w="1984" w:type="dxa"/>
          </w:tcPr>
          <w:p w14:paraId="467E5DEC"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78E60178" w14:textId="77777777" w:rsidR="00F455ED" w:rsidRPr="00BD23B6" w:rsidRDefault="00F455ED" w:rsidP="006B791A">
            <w:pPr>
              <w:rPr>
                <w:color w:val="808080" w:themeColor="background1" w:themeShade="80"/>
              </w:rPr>
            </w:pPr>
            <w:r w:rsidRPr="00BD23B6">
              <w:rPr>
                <w:color w:val="808080" w:themeColor="background1" w:themeShade="80"/>
              </w:rPr>
              <w:t>1. Actividades permanentes de prevención de riesgos laborales</w:t>
            </w:r>
          </w:p>
          <w:p w14:paraId="2AD35786" w14:textId="77777777" w:rsidR="00F455ED" w:rsidRDefault="00F455ED" w:rsidP="006B791A"/>
        </w:tc>
        <w:tc>
          <w:tcPr>
            <w:tcW w:w="2835" w:type="dxa"/>
          </w:tcPr>
          <w:p w14:paraId="08D17E22"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67E098A5" w14:textId="77777777" w:rsidR="00F455ED" w:rsidRDefault="00F455ED" w:rsidP="006B791A">
            <w:r w:rsidRPr="00BD23B6">
              <w:rPr>
                <w:color w:val="808080" w:themeColor="background1" w:themeShade="80"/>
              </w:rPr>
              <w:t>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Profesionales y/o de los Comités Paritarios, según sea el caso, con independencia de la ocurrencia o no de siniestros de accidentes del trabajo o enfermedades profesionales.</w:t>
            </w:r>
          </w:p>
        </w:tc>
        <w:tc>
          <w:tcPr>
            <w:tcW w:w="3828" w:type="dxa"/>
          </w:tcPr>
          <w:p w14:paraId="2E4CD7EC" w14:textId="77777777" w:rsidR="00F455ED" w:rsidRDefault="00F455ED" w:rsidP="006B791A"/>
        </w:tc>
      </w:tr>
      <w:tr w:rsidR="00F455ED" w14:paraId="04D00ADE" w14:textId="77777777" w:rsidTr="006B791A">
        <w:trPr>
          <w:jc w:val="center"/>
        </w:trPr>
        <w:tc>
          <w:tcPr>
            <w:tcW w:w="1696" w:type="dxa"/>
          </w:tcPr>
          <w:p w14:paraId="1D5A3732" w14:textId="77777777" w:rsidR="00F455ED" w:rsidRDefault="00F455ED" w:rsidP="006B791A"/>
        </w:tc>
        <w:tc>
          <w:tcPr>
            <w:tcW w:w="1985" w:type="dxa"/>
          </w:tcPr>
          <w:p w14:paraId="2904375B" w14:textId="77777777" w:rsidR="00F455ED" w:rsidRDefault="00F455ED" w:rsidP="006B791A"/>
        </w:tc>
        <w:tc>
          <w:tcPr>
            <w:tcW w:w="1984" w:type="dxa"/>
          </w:tcPr>
          <w:p w14:paraId="21CC6EC2" w14:textId="77777777" w:rsidR="00F455ED" w:rsidRDefault="00F455ED" w:rsidP="006B791A"/>
        </w:tc>
        <w:tc>
          <w:tcPr>
            <w:tcW w:w="2835" w:type="dxa"/>
          </w:tcPr>
          <w:p w14:paraId="3AC1D401" w14:textId="77777777" w:rsidR="00F455ED" w:rsidRDefault="00F455ED" w:rsidP="006B791A"/>
        </w:tc>
        <w:tc>
          <w:tcPr>
            <w:tcW w:w="3828" w:type="dxa"/>
          </w:tcPr>
          <w:p w14:paraId="38EF07CD" w14:textId="77777777" w:rsidR="00F455ED" w:rsidRDefault="00F455ED" w:rsidP="006B791A"/>
          <w:p w14:paraId="450B0A5B" w14:textId="77777777" w:rsidR="00F455ED" w:rsidRDefault="00F455ED" w:rsidP="006B791A"/>
          <w:p w14:paraId="53991874" w14:textId="77777777" w:rsidR="00F455ED" w:rsidRDefault="00F455ED" w:rsidP="006B791A"/>
          <w:p w14:paraId="334BFA5A" w14:textId="77777777" w:rsidR="00F455ED" w:rsidRDefault="00F455ED" w:rsidP="006B791A"/>
        </w:tc>
      </w:tr>
      <w:tr w:rsidR="00F455ED" w14:paraId="4D762B4F" w14:textId="77777777" w:rsidTr="006B791A">
        <w:trPr>
          <w:jc w:val="center"/>
        </w:trPr>
        <w:tc>
          <w:tcPr>
            <w:tcW w:w="1696" w:type="dxa"/>
          </w:tcPr>
          <w:p w14:paraId="3C3D94A8" w14:textId="77777777" w:rsidR="00F455ED" w:rsidRDefault="00F455ED" w:rsidP="006B791A"/>
        </w:tc>
        <w:tc>
          <w:tcPr>
            <w:tcW w:w="1985" w:type="dxa"/>
          </w:tcPr>
          <w:p w14:paraId="217CB8BD" w14:textId="77777777" w:rsidR="00F455ED" w:rsidRDefault="00F455ED" w:rsidP="006B791A"/>
        </w:tc>
        <w:tc>
          <w:tcPr>
            <w:tcW w:w="1984" w:type="dxa"/>
          </w:tcPr>
          <w:p w14:paraId="48C7FDFB" w14:textId="77777777" w:rsidR="00F455ED" w:rsidRDefault="00F455ED" w:rsidP="006B791A"/>
        </w:tc>
        <w:tc>
          <w:tcPr>
            <w:tcW w:w="2835" w:type="dxa"/>
          </w:tcPr>
          <w:p w14:paraId="3B675F6C" w14:textId="77777777" w:rsidR="00F455ED" w:rsidRDefault="00F455ED" w:rsidP="006B791A"/>
        </w:tc>
        <w:tc>
          <w:tcPr>
            <w:tcW w:w="3828" w:type="dxa"/>
          </w:tcPr>
          <w:p w14:paraId="07C498E4" w14:textId="77777777" w:rsidR="00F455ED" w:rsidRDefault="00F455ED" w:rsidP="006B791A"/>
          <w:p w14:paraId="1C2A1076" w14:textId="77777777" w:rsidR="00F455ED" w:rsidRDefault="00F455ED" w:rsidP="006B791A"/>
          <w:p w14:paraId="14C64A19" w14:textId="77777777" w:rsidR="00F455ED" w:rsidRDefault="00F455ED" w:rsidP="006B791A"/>
          <w:p w14:paraId="161562A6" w14:textId="77777777" w:rsidR="00F455ED" w:rsidRDefault="00F455ED" w:rsidP="006B791A"/>
        </w:tc>
      </w:tr>
      <w:tr w:rsidR="00F455ED" w14:paraId="53D6CDBC" w14:textId="77777777" w:rsidTr="006B791A">
        <w:trPr>
          <w:jc w:val="center"/>
        </w:trPr>
        <w:tc>
          <w:tcPr>
            <w:tcW w:w="1696" w:type="dxa"/>
          </w:tcPr>
          <w:p w14:paraId="49684798" w14:textId="77777777" w:rsidR="00F455ED" w:rsidRDefault="00F455ED" w:rsidP="006B791A"/>
        </w:tc>
        <w:tc>
          <w:tcPr>
            <w:tcW w:w="1985" w:type="dxa"/>
          </w:tcPr>
          <w:p w14:paraId="408F8083" w14:textId="77777777" w:rsidR="00F455ED" w:rsidRDefault="00F455ED" w:rsidP="006B791A"/>
        </w:tc>
        <w:tc>
          <w:tcPr>
            <w:tcW w:w="1984" w:type="dxa"/>
          </w:tcPr>
          <w:p w14:paraId="5C4209D0" w14:textId="77777777" w:rsidR="00F455ED" w:rsidRDefault="00F455ED" w:rsidP="006B791A"/>
        </w:tc>
        <w:tc>
          <w:tcPr>
            <w:tcW w:w="2835" w:type="dxa"/>
          </w:tcPr>
          <w:p w14:paraId="6C7F63CD" w14:textId="77777777" w:rsidR="00F455ED" w:rsidRDefault="00F455ED" w:rsidP="006B791A"/>
        </w:tc>
        <w:tc>
          <w:tcPr>
            <w:tcW w:w="3828" w:type="dxa"/>
          </w:tcPr>
          <w:p w14:paraId="6E24973F" w14:textId="77777777" w:rsidR="00F455ED" w:rsidRDefault="00F455ED" w:rsidP="006B791A"/>
          <w:p w14:paraId="0CCB3BC2" w14:textId="77777777" w:rsidR="00F455ED" w:rsidRDefault="00F455ED" w:rsidP="006B791A"/>
          <w:p w14:paraId="6BC03C4B" w14:textId="77777777" w:rsidR="00F455ED" w:rsidRDefault="00F455ED" w:rsidP="006B791A"/>
          <w:p w14:paraId="48D5F9A3" w14:textId="77777777" w:rsidR="00F455ED" w:rsidRDefault="00F455ED" w:rsidP="006B791A"/>
        </w:tc>
      </w:tr>
      <w:tr w:rsidR="00F455ED" w14:paraId="36C3226B" w14:textId="77777777" w:rsidTr="006B791A">
        <w:trPr>
          <w:jc w:val="center"/>
        </w:trPr>
        <w:tc>
          <w:tcPr>
            <w:tcW w:w="1696" w:type="dxa"/>
          </w:tcPr>
          <w:p w14:paraId="729F983C" w14:textId="77777777" w:rsidR="00F455ED" w:rsidRDefault="00F455ED" w:rsidP="006B791A"/>
        </w:tc>
        <w:tc>
          <w:tcPr>
            <w:tcW w:w="1985" w:type="dxa"/>
          </w:tcPr>
          <w:p w14:paraId="6FA0280F" w14:textId="77777777" w:rsidR="00F455ED" w:rsidRDefault="00F455ED" w:rsidP="006B791A"/>
        </w:tc>
        <w:tc>
          <w:tcPr>
            <w:tcW w:w="1984" w:type="dxa"/>
          </w:tcPr>
          <w:p w14:paraId="6E2DC7CD" w14:textId="77777777" w:rsidR="00F455ED" w:rsidRDefault="00F455ED" w:rsidP="006B791A"/>
        </w:tc>
        <w:tc>
          <w:tcPr>
            <w:tcW w:w="2835" w:type="dxa"/>
          </w:tcPr>
          <w:p w14:paraId="6D56E327" w14:textId="77777777" w:rsidR="00F455ED" w:rsidRDefault="00F455ED" w:rsidP="006B791A"/>
        </w:tc>
        <w:tc>
          <w:tcPr>
            <w:tcW w:w="3828" w:type="dxa"/>
          </w:tcPr>
          <w:p w14:paraId="39554DB9" w14:textId="77777777" w:rsidR="00F455ED" w:rsidRDefault="00F455ED" w:rsidP="006B791A"/>
          <w:p w14:paraId="1893841B" w14:textId="77777777" w:rsidR="00F455ED" w:rsidRDefault="00F455ED" w:rsidP="006B791A"/>
          <w:p w14:paraId="6E3FC7BD" w14:textId="77777777" w:rsidR="00F455ED" w:rsidRDefault="00F455ED" w:rsidP="006B791A"/>
          <w:p w14:paraId="1FDE85E3" w14:textId="77777777" w:rsidR="00F455ED" w:rsidRDefault="00F455ED" w:rsidP="006B791A"/>
        </w:tc>
      </w:tr>
      <w:tr w:rsidR="00F455ED" w14:paraId="13C41C26" w14:textId="77777777" w:rsidTr="006B791A">
        <w:trPr>
          <w:jc w:val="center"/>
        </w:trPr>
        <w:tc>
          <w:tcPr>
            <w:tcW w:w="1696" w:type="dxa"/>
          </w:tcPr>
          <w:p w14:paraId="770C2B40" w14:textId="77777777" w:rsidR="00F455ED" w:rsidRDefault="00F455ED" w:rsidP="006B791A"/>
        </w:tc>
        <w:tc>
          <w:tcPr>
            <w:tcW w:w="1985" w:type="dxa"/>
          </w:tcPr>
          <w:p w14:paraId="28E421EC" w14:textId="77777777" w:rsidR="00F455ED" w:rsidRDefault="00F455ED" w:rsidP="006B791A"/>
        </w:tc>
        <w:tc>
          <w:tcPr>
            <w:tcW w:w="1984" w:type="dxa"/>
          </w:tcPr>
          <w:p w14:paraId="52F63552" w14:textId="77777777" w:rsidR="00F455ED" w:rsidRDefault="00F455ED" w:rsidP="006B791A"/>
        </w:tc>
        <w:tc>
          <w:tcPr>
            <w:tcW w:w="2835" w:type="dxa"/>
          </w:tcPr>
          <w:p w14:paraId="4A687BC8" w14:textId="77777777" w:rsidR="00F455ED" w:rsidRDefault="00F455ED" w:rsidP="006B791A"/>
        </w:tc>
        <w:tc>
          <w:tcPr>
            <w:tcW w:w="3828" w:type="dxa"/>
          </w:tcPr>
          <w:p w14:paraId="25617E33" w14:textId="77777777" w:rsidR="00F455ED" w:rsidRDefault="00F455ED" w:rsidP="006B791A"/>
          <w:p w14:paraId="28333C80" w14:textId="77777777" w:rsidR="00F455ED" w:rsidRDefault="00F455ED" w:rsidP="006B791A"/>
          <w:p w14:paraId="50A4C966" w14:textId="77777777" w:rsidR="00F455ED" w:rsidRDefault="00F455ED" w:rsidP="006B791A"/>
          <w:p w14:paraId="5CCF3228" w14:textId="77777777" w:rsidR="00F455ED" w:rsidRDefault="00F455ED" w:rsidP="006B791A"/>
        </w:tc>
      </w:tr>
    </w:tbl>
    <w:p w14:paraId="0B18AED0" w14:textId="0F5024ED" w:rsidR="00F455ED" w:rsidRDefault="00F455ED" w:rsidP="00B64BF5">
      <w:pPr>
        <w:spacing w:before="120" w:after="120"/>
        <w:ind w:left="425"/>
        <w:jc w:val="both"/>
      </w:pPr>
    </w:p>
    <w:sectPr w:rsidR="00F455ED" w:rsidSect="00F455E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E240C" w14:textId="77777777" w:rsidR="007E7BC1" w:rsidRDefault="007E7BC1" w:rsidP="00807ED0">
      <w:pPr>
        <w:spacing w:after="0" w:line="240" w:lineRule="auto"/>
      </w:pPr>
      <w:r>
        <w:separator/>
      </w:r>
    </w:p>
  </w:endnote>
  <w:endnote w:type="continuationSeparator" w:id="0">
    <w:p w14:paraId="0A92D67C" w14:textId="77777777" w:rsidR="007E7BC1" w:rsidRDefault="007E7BC1" w:rsidP="0080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755867"/>
      <w:docPartObj>
        <w:docPartGallery w:val="Page Numbers (Bottom of Page)"/>
        <w:docPartUnique/>
      </w:docPartObj>
    </w:sdtPr>
    <w:sdtEndPr/>
    <w:sdtContent>
      <w:p w14:paraId="1B2F0C2A" w14:textId="13DC7260" w:rsidR="00807ED0" w:rsidRDefault="00807ED0">
        <w:pPr>
          <w:pStyle w:val="Piedepgina"/>
          <w:jc w:val="center"/>
        </w:pPr>
        <w:r>
          <w:fldChar w:fldCharType="begin"/>
        </w:r>
        <w:r>
          <w:instrText>PAGE   \* MERGEFORMAT</w:instrText>
        </w:r>
        <w:r>
          <w:fldChar w:fldCharType="separate"/>
        </w:r>
        <w:r w:rsidR="006F330D" w:rsidRPr="006F330D">
          <w:rPr>
            <w:noProof/>
            <w:lang w:val="es-ES"/>
          </w:rPr>
          <w:t>1</w:t>
        </w:r>
        <w:r>
          <w:fldChar w:fldCharType="end"/>
        </w:r>
      </w:p>
    </w:sdtContent>
  </w:sdt>
  <w:p w14:paraId="398B8749" w14:textId="77777777" w:rsidR="00807ED0" w:rsidRDefault="00807E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72429" w14:textId="77777777" w:rsidR="007E7BC1" w:rsidRDefault="007E7BC1" w:rsidP="00807ED0">
      <w:pPr>
        <w:spacing w:after="0" w:line="240" w:lineRule="auto"/>
      </w:pPr>
      <w:r>
        <w:separator/>
      </w:r>
    </w:p>
  </w:footnote>
  <w:footnote w:type="continuationSeparator" w:id="0">
    <w:p w14:paraId="50EA5EA9" w14:textId="77777777" w:rsidR="007E7BC1" w:rsidRDefault="007E7BC1" w:rsidP="00807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FE599" w14:textId="299AA81D" w:rsidR="00AF04D7" w:rsidRDefault="00AF04D7" w:rsidP="00AF04D7">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7216" behindDoc="0" locked="0" layoutInCell="1" allowOverlap="1" wp14:anchorId="056F5A26" wp14:editId="1BE207D9">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7187E529" w14:textId="77777777" w:rsidR="00AF04D7" w:rsidRDefault="00AF04D7" w:rsidP="00AF04D7">
    <w:pPr>
      <w:pStyle w:val="HeaderEven"/>
      <w:ind w:left="993"/>
      <w:rPr>
        <w:szCs w:val="20"/>
      </w:rPr>
    </w:pPr>
    <w:r>
      <w:rPr>
        <w:szCs w:val="20"/>
      </w:rPr>
      <w:t>Intendencia de Seguridad y Salud en el Trabajo</w:t>
    </w:r>
  </w:p>
  <w:p w14:paraId="4AAA7177" w14:textId="753912FF" w:rsidR="00AF04D7" w:rsidRPr="00AF04D7" w:rsidRDefault="00AF04D7">
    <w:pPr>
      <w:pStyle w:val="Encabezado"/>
      <w:rPr>
        <w:lang w:val="es-ES"/>
      </w:rPr>
    </w:pPr>
  </w:p>
  <w:p w14:paraId="0E010513" w14:textId="77777777" w:rsidR="00AF04D7" w:rsidRDefault="00AF04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4FF"/>
    <w:multiLevelType w:val="hybridMultilevel"/>
    <w:tmpl w:val="F6FCD5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E904422"/>
    <w:multiLevelType w:val="hybridMultilevel"/>
    <w:tmpl w:val="4DEE3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1D32D3A"/>
    <w:multiLevelType w:val="hybridMultilevel"/>
    <w:tmpl w:val="989AB3A8"/>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3">
    <w:nsid w:val="343346CB"/>
    <w:multiLevelType w:val="hybridMultilevel"/>
    <w:tmpl w:val="2522FCDE"/>
    <w:lvl w:ilvl="0" w:tplc="340A0017">
      <w:start w:val="1"/>
      <w:numFmt w:val="lowerLetter"/>
      <w:lvlText w:val="%1)"/>
      <w:lvlJc w:val="left"/>
      <w:pPr>
        <w:ind w:left="1145" w:hanging="360"/>
      </w:pPr>
      <w:rPr>
        <w:rFonts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4">
    <w:nsid w:val="3FF14AB6"/>
    <w:multiLevelType w:val="hybridMultilevel"/>
    <w:tmpl w:val="E24067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5C62BAA"/>
    <w:multiLevelType w:val="hybridMultilevel"/>
    <w:tmpl w:val="CB647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9C"/>
    <w:rsid w:val="00084638"/>
    <w:rsid w:val="00085F6E"/>
    <w:rsid w:val="00107E1D"/>
    <w:rsid w:val="00124062"/>
    <w:rsid w:val="00160560"/>
    <w:rsid w:val="00183CC0"/>
    <w:rsid w:val="00197805"/>
    <w:rsid w:val="00273D5B"/>
    <w:rsid w:val="002A71C9"/>
    <w:rsid w:val="002E1694"/>
    <w:rsid w:val="002F3EE4"/>
    <w:rsid w:val="002F5BEA"/>
    <w:rsid w:val="003510DD"/>
    <w:rsid w:val="00397EB0"/>
    <w:rsid w:val="003C5C11"/>
    <w:rsid w:val="003D236F"/>
    <w:rsid w:val="004A175F"/>
    <w:rsid w:val="004B6D96"/>
    <w:rsid w:val="004C514E"/>
    <w:rsid w:val="004D3971"/>
    <w:rsid w:val="004E5A19"/>
    <w:rsid w:val="004F38DF"/>
    <w:rsid w:val="005133CE"/>
    <w:rsid w:val="006A1900"/>
    <w:rsid w:val="006F330D"/>
    <w:rsid w:val="007B0E0C"/>
    <w:rsid w:val="007B2F73"/>
    <w:rsid w:val="007E7BC1"/>
    <w:rsid w:val="00807ED0"/>
    <w:rsid w:val="008C4414"/>
    <w:rsid w:val="008D1065"/>
    <w:rsid w:val="008F10DB"/>
    <w:rsid w:val="0092657C"/>
    <w:rsid w:val="00983360"/>
    <w:rsid w:val="00983BA0"/>
    <w:rsid w:val="00990B99"/>
    <w:rsid w:val="009E3F44"/>
    <w:rsid w:val="009E5760"/>
    <w:rsid w:val="00A071EE"/>
    <w:rsid w:val="00A237EC"/>
    <w:rsid w:val="00A36E4E"/>
    <w:rsid w:val="00A45B9C"/>
    <w:rsid w:val="00A83763"/>
    <w:rsid w:val="00AF04D7"/>
    <w:rsid w:val="00B317D3"/>
    <w:rsid w:val="00B35DB0"/>
    <w:rsid w:val="00B64BF5"/>
    <w:rsid w:val="00BC2129"/>
    <w:rsid w:val="00C238D3"/>
    <w:rsid w:val="00D426DE"/>
    <w:rsid w:val="00D74401"/>
    <w:rsid w:val="00D9613F"/>
    <w:rsid w:val="00DB123A"/>
    <w:rsid w:val="00DB1DEF"/>
    <w:rsid w:val="00DD7884"/>
    <w:rsid w:val="00E358D2"/>
    <w:rsid w:val="00F353C0"/>
    <w:rsid w:val="00F4243D"/>
    <w:rsid w:val="00F44745"/>
    <w:rsid w:val="00F455ED"/>
    <w:rsid w:val="00F77C3A"/>
    <w:rsid w:val="00F85D76"/>
    <w:rsid w:val="00FA3D51"/>
    <w:rsid w:val="00FA4566"/>
    <w:rsid w:val="00FA4F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sat@suseso.c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 Ramirez</dc:creator>
  <cp:lastModifiedBy>Usuario de Windows</cp:lastModifiedBy>
  <cp:revision>2</cp:revision>
  <dcterms:created xsi:type="dcterms:W3CDTF">2021-05-05T19:34:00Z</dcterms:created>
  <dcterms:modified xsi:type="dcterms:W3CDTF">2021-05-05T19:34:00Z</dcterms:modified>
</cp:coreProperties>
</file>