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6" w:rsidRDefault="00843853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  <w:r>
        <w:rPr>
          <w:rFonts w:cs="Trebuchet MS"/>
          <w:b/>
          <w:bCs/>
          <w:noProof/>
          <w:sz w:val="14"/>
          <w:szCs w:val="14"/>
        </w:rPr>
        <w:drawing>
          <wp:inline distT="0" distB="0" distL="0" distR="0">
            <wp:extent cx="5937885" cy="2897505"/>
            <wp:effectExtent l="1905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436456" w:rsidP="00436456">
      <w:pPr>
        <w:pStyle w:val="Style3"/>
        <w:widowControl/>
        <w:jc w:val="center"/>
        <w:rPr>
          <w:rStyle w:val="FontStyle12"/>
          <w:lang w:val="es-ES_tradnl" w:eastAsia="es-ES_tradnl"/>
        </w:rPr>
      </w:pPr>
    </w:p>
    <w:p w:rsidR="00436456" w:rsidRDefault="0095054A" w:rsidP="00436456">
      <w:pPr>
        <w:pStyle w:val="Style3"/>
        <w:widowControl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REAJUSTE DE PENSIONES QUE DEBE APLICARSE A LAS PENSIONES DEL SEGURO DE LA LEY N° 16.744 A CONTAR DEL </w:t>
      </w:r>
      <w:r w:rsidR="00843853">
        <w:rPr>
          <w:rStyle w:val="FontStyle14"/>
          <w:lang w:val="es-ES_tradnl" w:eastAsia="es-ES_tradnl"/>
        </w:rPr>
        <w:t>1</w:t>
      </w:r>
      <w:r>
        <w:rPr>
          <w:rStyle w:val="FontStyle14"/>
          <w:vertAlign w:val="superscript"/>
          <w:lang w:val="es-ES_tradnl" w:eastAsia="es-ES_tradnl"/>
        </w:rPr>
        <w:t>o</w:t>
      </w:r>
      <w:r>
        <w:rPr>
          <w:rStyle w:val="FontStyle14"/>
          <w:lang w:val="es-ES_tradnl" w:eastAsia="es-ES_tradnl"/>
        </w:rPr>
        <w:t xml:space="preserve"> DE DICIEMBRE DE 2012. IMPARTE INSTRUCCIONES</w:t>
      </w:r>
    </w:p>
    <w:p w:rsidR="00000000" w:rsidRDefault="00436456">
      <w:pPr>
        <w:pStyle w:val="Style3"/>
        <w:widowControl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br w:type="page"/>
      </w:r>
    </w:p>
    <w:p w:rsidR="00000000" w:rsidRDefault="0095054A" w:rsidP="00041CEF">
      <w:pPr>
        <w:pStyle w:val="Style2"/>
        <w:widowControl/>
        <w:numPr>
          <w:ilvl w:val="0"/>
          <w:numId w:val="2"/>
        </w:numPr>
        <w:spacing w:after="240"/>
        <w:ind w:left="567" w:hanging="567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REAJUSTE GENERAL DE PENSIONES</w:t>
      </w:r>
    </w:p>
    <w:p w:rsidR="00000000" w:rsidRDefault="0095054A" w:rsidP="00436456">
      <w:pPr>
        <w:pStyle w:val="Style7"/>
        <w:widowControl/>
        <w:ind w:left="567" w:right="1138"/>
        <w:jc w:val="both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En conformidad a lo dispuesto en el artículo 14 del D.L. N° 2.448 de 1979, </w:t>
      </w:r>
      <w:r>
        <w:rPr>
          <w:rStyle w:val="FontStyle17"/>
          <w:lang w:val="es-ES_tradnl" w:eastAsia="es-ES_tradnl"/>
        </w:rPr>
        <w:t>modificado por la Ley N° 19.262 y el artículo 99 de la Ley N° 20.255, todas las pensiones de regímenes previsionales que señala, entre ellas las pensiones del régimen de accidentes del trabajo y enfermedades profesionales, se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deben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reajustar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automáticament</w:t>
      </w:r>
      <w:r>
        <w:rPr>
          <w:rStyle w:val="FontStyle17"/>
          <w:lang w:val="es-ES_tradnl" w:eastAsia="es-ES_tradnl"/>
        </w:rPr>
        <w:t>e, en</w:t>
      </w:r>
      <w:r>
        <w:rPr>
          <w:rStyle w:val="FontStyle17"/>
          <w:lang w:val="es-ES_tradnl" w:eastAsia="es-ES_tradnl"/>
        </w:rPr>
        <w:t xml:space="preserve"> el 100% de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la variación experimentada por el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Indice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de Precios al Consumidor entre el mes anterior al último reajuste concedido y el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mes en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que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dicha variación alcance o supere el 10%. Con todo, si transcurriesen 12 meses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desde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el último reajuste sin</w:t>
      </w:r>
      <w:r>
        <w:rPr>
          <w:rStyle w:val="FontStyle17"/>
          <w:lang w:val="es-ES_tradnl" w:eastAsia="es-ES_tradnl"/>
        </w:rPr>
        <w:t xml:space="preserve"> que la variación del referido índice alcance el 10%, las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aludidas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pensiones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se reajustarán en el porcentaje de variación que aquél hubiere experimentado en dicho período. Este último reajuste sustituye al antes indicado.</w:t>
      </w:r>
    </w:p>
    <w:p w:rsidR="00041CEF" w:rsidRDefault="00041CEF" w:rsidP="00436456">
      <w:pPr>
        <w:pStyle w:val="Style7"/>
        <w:widowControl/>
        <w:ind w:left="567" w:right="1138"/>
        <w:jc w:val="both"/>
        <w:rPr>
          <w:rStyle w:val="FontStyle17"/>
          <w:lang w:val="es-ES_tradnl" w:eastAsia="es-ES_tradnl"/>
        </w:rPr>
      </w:pPr>
    </w:p>
    <w:p w:rsidR="00000000" w:rsidRDefault="0095054A" w:rsidP="00041CEF">
      <w:pPr>
        <w:pStyle w:val="Style7"/>
        <w:widowControl/>
        <w:spacing w:after="240"/>
        <w:ind w:left="567" w:right="1140"/>
        <w:jc w:val="both"/>
        <w:rPr>
          <w:rStyle w:val="FontStyle16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Ahora bien,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de acuerdo con el refe</w:t>
      </w:r>
      <w:r>
        <w:rPr>
          <w:rStyle w:val="FontStyle17"/>
          <w:lang w:val="es-ES_tradnl" w:eastAsia="es-ES_tradnl"/>
        </w:rPr>
        <w:t xml:space="preserve">rido Decreto Ley y dado que el 30 de noviembre de 2012. se cumplieron 12 meses desde el último reajuste ordinario de pensiones sin que la variación del Indice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de Precios al Consumidor alcanzara el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10%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ya señalado, corresponde reajustar a contar del </w:t>
      </w:r>
      <w:r w:rsidR="00041CEF">
        <w:rPr>
          <w:rStyle w:val="FontStyle17"/>
          <w:spacing w:val="40"/>
          <w:lang w:val="es-ES_tradnl" w:eastAsia="es-ES_tradnl"/>
        </w:rPr>
        <w:t xml:space="preserve"> 1</w:t>
      </w:r>
      <w:r>
        <w:rPr>
          <w:rStyle w:val="FontStyle17"/>
          <w:spacing w:val="40"/>
          <w:vertAlign w:val="superscript"/>
          <w:lang w:val="es-ES_tradnl" w:eastAsia="es-ES_tradnl"/>
        </w:rPr>
        <w:t>o</w:t>
      </w:r>
      <w:r>
        <w:rPr>
          <w:rStyle w:val="FontStyle17"/>
          <w:lang w:val="es-ES_tradnl" w:eastAsia="es-ES_tradnl"/>
        </w:rPr>
        <w:t xml:space="preserve"> de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d</w:t>
      </w:r>
      <w:r>
        <w:rPr>
          <w:rStyle w:val="FontStyle17"/>
          <w:lang w:val="es-ES_tradnl" w:eastAsia="es-ES_tradnl"/>
        </w:rPr>
        <w:t xml:space="preserve">iciembre de 2012, todas las pensiones del régimen de accidentes del trabajo y enfermedades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profesionales,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vigentes al 30 de noviembre de 2012, incluidas aquellas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que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a </w:t>
      </w:r>
      <w:r w:rsidR="00041CEF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dicha fecha se encontraban asimiladas a los montos mínimos de los artículos 24 y 26 de l</w:t>
      </w:r>
      <w:r>
        <w:rPr>
          <w:rStyle w:val="FontStyle17"/>
          <w:lang w:val="es-ES_tradnl" w:eastAsia="es-ES_tradnl"/>
        </w:rPr>
        <w:t xml:space="preserve">a Ley N° 15.386, en un </w:t>
      </w:r>
      <w:r>
        <w:rPr>
          <w:rStyle w:val="FontStyle16"/>
          <w:lang w:val="es-ES_tradnl" w:eastAsia="es-ES_tradnl"/>
        </w:rPr>
        <w:t>2,13%</w:t>
      </w:r>
    </w:p>
    <w:p w:rsidR="00000000" w:rsidRDefault="0095054A" w:rsidP="00843853">
      <w:pPr>
        <w:pStyle w:val="Style2"/>
        <w:widowControl/>
        <w:spacing w:after="240"/>
        <w:ind w:left="567" w:right="1140" w:hanging="567"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2.    </w:t>
      </w:r>
      <w:r>
        <w:rPr>
          <w:rStyle w:val="FontStyle16"/>
          <w:lang w:val="es-ES_tradnl" w:eastAsia="es-ES_tradnl"/>
        </w:rPr>
        <w:t>REAJUSTE DE PENSIONES MINIMAS</w:t>
      </w:r>
    </w:p>
    <w:p w:rsidR="00000000" w:rsidRDefault="0095054A" w:rsidP="00436456">
      <w:pPr>
        <w:pStyle w:val="Style7"/>
        <w:widowControl/>
        <w:ind w:left="567" w:right="1138"/>
        <w:jc w:val="both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Considerando 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que el artículo 55 de la ley N° 16.744 dispone que los organismos administradores deben aplicar a las pensiones causadas por accidentes del trabajo o enfermedades profesional</w:t>
      </w:r>
      <w:r>
        <w:rPr>
          <w:rStyle w:val="FontStyle17"/>
          <w:lang w:val="es-ES_tradnl" w:eastAsia="es-ES_tradnl"/>
        </w:rPr>
        <w:t>es las disposiciones legales sobre montos mínimos que rijan en el régimen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de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pensiones y 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que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la Superintendencia de Pensiones en uso de las atribuciones que 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le otorgó el artículo 48 de la Ley N° 20.255, por oficio ordinario N°29118, de 7 de diciembre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de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20</w:t>
      </w:r>
      <w:r>
        <w:rPr>
          <w:rStyle w:val="FontStyle17"/>
          <w:lang w:val="es-ES_tradnl" w:eastAsia="es-ES_tradnl"/>
        </w:rPr>
        <w:t xml:space="preserve">12, 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estableció 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>los valores de las pensiones mínimas, de las bonificaciones de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las</w:t>
      </w:r>
      <w:r w:rsidR="00843853">
        <w:rPr>
          <w:rStyle w:val="FontStyle17"/>
          <w:lang w:val="es-ES_tradnl" w:eastAsia="es-ES_tradnl"/>
        </w:rPr>
        <w:t xml:space="preserve"> </w:t>
      </w:r>
      <w:r>
        <w:rPr>
          <w:rStyle w:val="FontStyle17"/>
          <w:lang w:val="es-ES_tradnl" w:eastAsia="es-ES_tradnl"/>
        </w:rPr>
        <w:t xml:space="preserve"> leyes N°s 19.403, 19.539 y 19.953 y el límite máximo inicial de las pensiones, que rigen a partir del </w:t>
      </w:r>
      <w:r>
        <w:rPr>
          <w:rStyle w:val="FontStyle17"/>
          <w:spacing w:val="40"/>
          <w:lang w:val="es-ES_tradnl" w:eastAsia="es-ES_tradnl"/>
        </w:rPr>
        <w:t>I</w:t>
      </w:r>
      <w:r>
        <w:rPr>
          <w:rStyle w:val="FontStyle17"/>
          <w:spacing w:val="40"/>
          <w:vertAlign w:val="superscript"/>
          <w:lang w:val="es-ES_tradnl" w:eastAsia="es-ES_tradnl"/>
        </w:rPr>
        <w:t>o</w:t>
      </w:r>
      <w:r>
        <w:rPr>
          <w:rStyle w:val="FontStyle17"/>
          <w:lang w:val="es-ES_tradnl" w:eastAsia="es-ES_tradnl"/>
        </w:rPr>
        <w:t xml:space="preserve"> de diciembre de 2012, se remite el referido oficio a los organismos a</w:t>
      </w:r>
      <w:r>
        <w:rPr>
          <w:rStyle w:val="FontStyle17"/>
          <w:lang w:val="es-ES_tradnl" w:eastAsia="es-ES_tradnl"/>
        </w:rPr>
        <w:t>dministradores del Seguro de la Ley N° 16.744. para que apliquen los montos que en él se indican.</w:t>
      </w:r>
    </w:p>
    <w:p w:rsidR="00843853" w:rsidRDefault="00843853" w:rsidP="00436456">
      <w:pPr>
        <w:pStyle w:val="Style7"/>
        <w:widowControl/>
        <w:ind w:left="567" w:right="1138"/>
        <w:jc w:val="both"/>
        <w:rPr>
          <w:rStyle w:val="FontStyle17"/>
          <w:lang w:val="es-ES_tradnl" w:eastAsia="es-ES_tradnl"/>
        </w:rPr>
      </w:pPr>
    </w:p>
    <w:p w:rsidR="00000000" w:rsidRDefault="0095054A" w:rsidP="00843853">
      <w:pPr>
        <w:pStyle w:val="Style9"/>
        <w:widowControl/>
        <w:ind w:left="567" w:right="1138" w:hanging="567"/>
        <w:jc w:val="both"/>
        <w:rPr>
          <w:rStyle w:val="FontStyle17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3.   </w:t>
      </w:r>
      <w:r>
        <w:rPr>
          <w:rStyle w:val="FontStyle17"/>
          <w:lang w:val="es-ES_tradnl" w:eastAsia="es-ES_tradnl"/>
        </w:rPr>
        <w:t>La Superintendenta infrascrita solicita a Ud. dar la más amplia difusión a las presentes instrucciones, especialmente entre los funcionarios encargados d</w:t>
      </w:r>
      <w:r>
        <w:rPr>
          <w:rStyle w:val="FontStyle17"/>
          <w:lang w:val="es-ES_tradnl" w:eastAsia="es-ES_tradnl"/>
        </w:rPr>
        <w:t>e su aplicación.</w:t>
      </w:r>
    </w:p>
    <w:p w:rsidR="00843853" w:rsidRDefault="00843853">
      <w:pPr>
        <w:pStyle w:val="Style7"/>
        <w:widowControl/>
        <w:rPr>
          <w:rStyle w:val="FontStyle17"/>
          <w:lang w:val="es-ES_tradnl" w:eastAsia="es-ES_tradnl"/>
        </w:rPr>
      </w:pPr>
    </w:p>
    <w:p w:rsidR="00843853" w:rsidRDefault="00843853">
      <w:pPr>
        <w:pStyle w:val="Style7"/>
        <w:widowControl/>
        <w:rPr>
          <w:rStyle w:val="FontStyle17"/>
          <w:lang w:val="es-ES_tradnl" w:eastAsia="es-ES_tradnl"/>
        </w:rPr>
      </w:pPr>
    </w:p>
    <w:p w:rsidR="00000000" w:rsidRDefault="0095054A" w:rsidP="00843853">
      <w:pPr>
        <w:pStyle w:val="Style7"/>
        <w:widowControl/>
        <w:ind w:firstLine="851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Saluda atentamente a Ud.,</w:t>
      </w:r>
    </w:p>
    <w:p w:rsidR="00843853" w:rsidRDefault="00843853" w:rsidP="00843853">
      <w:pPr>
        <w:pStyle w:val="Style7"/>
        <w:widowControl/>
        <w:ind w:firstLine="851"/>
        <w:rPr>
          <w:rStyle w:val="FontStyle17"/>
          <w:lang w:val="es-ES_tradnl" w:eastAsia="es-ES_tradnl"/>
        </w:rPr>
      </w:pPr>
    </w:p>
    <w:p w:rsidR="00000000" w:rsidRDefault="00843853">
      <w:pPr>
        <w:widowControl/>
      </w:pPr>
      <w:r>
        <w:rPr>
          <w:noProof/>
        </w:rPr>
        <w:drawing>
          <wp:inline distT="0" distB="0" distL="0" distR="0">
            <wp:extent cx="5676265" cy="1638935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5054A">
      <w:pPr>
        <w:pStyle w:val="Style9"/>
        <w:widowControl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DISTRIBUCION:</w:t>
      </w:r>
    </w:p>
    <w:p w:rsidR="00000000" w:rsidRDefault="0095054A">
      <w:pPr>
        <w:pStyle w:val="Style6"/>
        <w:widowControl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- Instituto de Seguridad Laboral (Adjunta oficio N°29118 de la Superintendencia de Pensiones)</w:t>
      </w:r>
    </w:p>
    <w:p w:rsidR="00000000" w:rsidRDefault="0095054A">
      <w:pPr>
        <w:pStyle w:val="Style6"/>
        <w:widowControl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- Mutualidades de la Ley N° 16.744 (Adjunta oficio N° 29118 de la Su</w:t>
      </w:r>
      <w:r>
        <w:rPr>
          <w:rStyle w:val="FontStyle17"/>
          <w:lang w:val="es-ES_tradnl" w:eastAsia="es-ES_tradnl"/>
        </w:rPr>
        <w:t>perintendencia de</w:t>
      </w:r>
    </w:p>
    <w:p w:rsidR="00000000" w:rsidRDefault="0095054A">
      <w:pPr>
        <w:pStyle w:val="Style8"/>
        <w:widowControl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Pensiones)</w:t>
      </w:r>
    </w:p>
    <w:p w:rsidR="00B94D31" w:rsidRDefault="0095054A" w:rsidP="00843853">
      <w:pPr>
        <w:pStyle w:val="Style2"/>
        <w:widowControl/>
        <w:jc w:val="right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2</w:t>
      </w:r>
    </w:p>
    <w:sectPr w:rsidR="00B94D31" w:rsidSect="00843853">
      <w:type w:val="continuous"/>
      <w:pgSz w:w="12240" w:h="15840"/>
      <w:pgMar w:top="1440" w:right="1440" w:bottom="993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4A" w:rsidRDefault="0095054A">
      <w:r>
        <w:separator/>
      </w:r>
    </w:p>
  </w:endnote>
  <w:endnote w:type="continuationSeparator" w:id="0">
    <w:p w:rsidR="0095054A" w:rsidRDefault="0095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4A" w:rsidRDefault="0095054A">
      <w:r>
        <w:separator/>
      </w:r>
    </w:p>
  </w:footnote>
  <w:footnote w:type="continuationSeparator" w:id="0">
    <w:p w:rsidR="0095054A" w:rsidRDefault="00950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816"/>
    <w:multiLevelType w:val="hybridMultilevel"/>
    <w:tmpl w:val="A53EAF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20805"/>
    <w:multiLevelType w:val="hybridMultilevel"/>
    <w:tmpl w:val="485EA6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E2B91"/>
    <w:rsid w:val="00041CEF"/>
    <w:rsid w:val="00436456"/>
    <w:rsid w:val="00843853"/>
    <w:rsid w:val="008E2B91"/>
    <w:rsid w:val="0095054A"/>
    <w:rsid w:val="00B9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2">
    <w:name w:val="Font Style12"/>
    <w:basedOn w:val="Fuentedeprrafopredeter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basedOn w:val="Fuentedeprrafopredeter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16">
    <w:name w:val="Font Style16"/>
    <w:basedOn w:val="Fuentedeprrafopredeter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7">
    <w:name w:val="Font Style17"/>
    <w:basedOn w:val="Fuentedeprrafopredeter"/>
    <w:uiPriority w:val="99"/>
    <w:rPr>
      <w:rFonts w:ascii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LAlcaino</dc:creator>
  <cp:keywords/>
  <dc:description/>
  <cp:lastModifiedBy>LAlcaino</cp:lastModifiedBy>
  <cp:revision>1</cp:revision>
  <dcterms:created xsi:type="dcterms:W3CDTF">2012-12-12T14:41:00Z</dcterms:created>
  <dcterms:modified xsi:type="dcterms:W3CDTF">2012-12-12T15:33:00Z</dcterms:modified>
</cp:coreProperties>
</file>